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26BA" w14:textId="77777777" w:rsidR="00F66A7C" w:rsidRPr="00FC433C" w:rsidRDefault="00F66A7C" w:rsidP="003F5460">
      <w:pPr>
        <w:pStyle w:val="Heading1"/>
        <w:rPr>
          <w:rFonts w:ascii="Times New Roman" w:hAnsi="Times New Roman"/>
          <w:b/>
          <w:color w:val="auto"/>
          <w:sz w:val="52"/>
          <w:szCs w:val="44"/>
        </w:rPr>
      </w:pPr>
      <w:r w:rsidRPr="00FC433C">
        <w:rPr>
          <w:rFonts w:ascii="Times New Roman" w:hAnsi="Times New Roman"/>
          <w:b/>
          <w:color w:val="auto"/>
          <w:sz w:val="52"/>
          <w:szCs w:val="44"/>
        </w:rPr>
        <w:t>INFORME TÉCNICO</w:t>
      </w:r>
    </w:p>
    <w:p w14:paraId="023F26BB" w14:textId="77777777" w:rsidR="00F66A7C" w:rsidRPr="00FC433C" w:rsidRDefault="00F66A7C" w:rsidP="00F66A7C">
      <w:pPr>
        <w:rPr>
          <w:b/>
          <w:i/>
          <w:lang w:val="es-ES"/>
        </w:rPr>
      </w:pPr>
      <w:r w:rsidRPr="00FC433C">
        <w:rPr>
          <w:b/>
          <w:i/>
          <w:lang w:val="es-ES"/>
        </w:rPr>
        <w:t xml:space="preserve">Unidad de Diseño y Desarrollo de Tecnología (DDT) PRATP © </w:t>
      </w:r>
      <w:r w:rsidR="00AD6AD7">
        <w:rPr>
          <w:b/>
          <w:i/>
          <w:lang w:val="es-ES"/>
        </w:rPr>
        <w:t>noviembre</w:t>
      </w:r>
      <w:r w:rsidRPr="00FC433C">
        <w:rPr>
          <w:b/>
          <w:i/>
          <w:lang w:val="es-ES"/>
        </w:rPr>
        <w:t xml:space="preserve"> 2017</w:t>
      </w:r>
    </w:p>
    <w:p w14:paraId="023F26BC" w14:textId="77777777" w:rsidR="00F66A7C" w:rsidRPr="00F66A7C" w:rsidRDefault="00F66A7C" w:rsidP="00F66A7C"/>
    <w:p w14:paraId="023F26BD" w14:textId="77777777" w:rsidR="00D57F39" w:rsidRPr="00FC433C" w:rsidRDefault="003C3920" w:rsidP="00F66A7C">
      <w:pPr>
        <w:pStyle w:val="Heading2"/>
        <w:rPr>
          <w:rFonts w:ascii="Times New Roman" w:hAnsi="Times New Roman" w:cs="Times New Roman"/>
          <w:b/>
          <w:color w:val="auto"/>
          <w:sz w:val="44"/>
          <w:szCs w:val="28"/>
          <w:lang w:val="es-ES"/>
        </w:rPr>
      </w:pPr>
      <w:r w:rsidRPr="00FC433C">
        <w:rPr>
          <w:rFonts w:ascii="Times New Roman" w:hAnsi="Times New Roman" w:cs="Times New Roman"/>
          <w:b/>
          <w:color w:val="auto"/>
          <w:sz w:val="44"/>
          <w:szCs w:val="28"/>
          <w:lang w:val="es-ES"/>
        </w:rPr>
        <w:t xml:space="preserve">Evaluación de </w:t>
      </w:r>
      <w:r w:rsidR="005E274F" w:rsidRPr="00FC433C">
        <w:rPr>
          <w:rFonts w:ascii="Times New Roman" w:hAnsi="Times New Roman" w:cs="Times New Roman"/>
          <w:b/>
          <w:color w:val="auto"/>
          <w:sz w:val="44"/>
          <w:szCs w:val="28"/>
          <w:lang w:val="es-ES"/>
        </w:rPr>
        <w:t>Equipos</w:t>
      </w:r>
      <w:r w:rsidRPr="00FC433C">
        <w:rPr>
          <w:rFonts w:ascii="Times New Roman" w:hAnsi="Times New Roman" w:cs="Times New Roman"/>
          <w:b/>
          <w:color w:val="auto"/>
          <w:sz w:val="44"/>
          <w:szCs w:val="28"/>
          <w:lang w:val="es-ES"/>
        </w:rPr>
        <w:t xml:space="preserve">: </w:t>
      </w:r>
      <w:r w:rsidR="005E274F" w:rsidRPr="00FC433C">
        <w:rPr>
          <w:rFonts w:ascii="Times New Roman" w:hAnsi="Times New Roman" w:cs="Times New Roman"/>
          <w:b/>
          <w:color w:val="auto"/>
          <w:sz w:val="44"/>
          <w:szCs w:val="28"/>
          <w:lang w:val="es-ES"/>
        </w:rPr>
        <w:t>Focus 14 y Focus 40 Blue</w:t>
      </w:r>
    </w:p>
    <w:p w14:paraId="023F26BE" w14:textId="77777777" w:rsidR="00A03EE1" w:rsidRPr="00A03EE1" w:rsidRDefault="00A03EE1" w:rsidP="00A03EE1">
      <w:pPr>
        <w:rPr>
          <w:b/>
        </w:rPr>
      </w:pPr>
    </w:p>
    <w:p w14:paraId="023F26BF" w14:textId="77777777" w:rsidR="00D5198C" w:rsidRPr="00466A40" w:rsidRDefault="005E274F" w:rsidP="00D5198C">
      <w:pPr>
        <w:rPr>
          <w:b/>
          <w:i/>
          <w:lang w:val="es-ES"/>
        </w:rPr>
      </w:pPr>
      <w:r>
        <w:rPr>
          <w:b/>
          <w:i/>
          <w:lang w:val="es-ES"/>
        </w:rPr>
        <w:t xml:space="preserve">Jeffrey Colón Vázquez </w:t>
      </w:r>
      <w:r w:rsidR="00D5198C" w:rsidRPr="00466A40">
        <w:rPr>
          <w:rStyle w:val="FootnoteReference"/>
          <w:b/>
          <w:i/>
          <w:lang w:val="es-ES"/>
        </w:rPr>
        <w:footnoteReference w:id="1"/>
      </w:r>
    </w:p>
    <w:p w14:paraId="023F26C0" w14:textId="77777777" w:rsidR="005E274F" w:rsidRPr="00F74BC8" w:rsidRDefault="005E274F" w:rsidP="005E274F">
      <w:pPr>
        <w:rPr>
          <w:b/>
          <w:i/>
          <w:sz w:val="20"/>
        </w:rPr>
      </w:pPr>
      <w:r w:rsidRPr="00F74BC8">
        <w:rPr>
          <w:b/>
          <w:i/>
          <w:sz w:val="20"/>
        </w:rPr>
        <w:t>Coordinador de Accesibilidad de Tecnologías de Información</w:t>
      </w:r>
      <w:r>
        <w:rPr>
          <w:b/>
          <w:i/>
          <w:sz w:val="20"/>
        </w:rPr>
        <w:t>, PRATP</w:t>
      </w:r>
    </w:p>
    <w:p w14:paraId="023F26C1" w14:textId="77777777" w:rsidR="007D22A3" w:rsidRDefault="007D22A3" w:rsidP="006B37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784409" w14:paraId="023F26C4" w14:textId="77777777" w:rsidTr="00AD6AD7">
        <w:trPr>
          <w:tblHeader/>
        </w:trPr>
        <w:tc>
          <w:tcPr>
            <w:tcW w:w="2335" w:type="dxa"/>
          </w:tcPr>
          <w:p w14:paraId="023F26C2" w14:textId="77777777" w:rsidR="00784409" w:rsidRPr="00784409" w:rsidRDefault="00784409" w:rsidP="006B3755">
            <w:r w:rsidRPr="00F84874">
              <w:rPr>
                <w:b/>
              </w:rPr>
              <w:t>Nombre</w:t>
            </w:r>
            <w:r>
              <w:t>:</w:t>
            </w:r>
          </w:p>
        </w:tc>
        <w:tc>
          <w:tcPr>
            <w:tcW w:w="7015" w:type="dxa"/>
          </w:tcPr>
          <w:p w14:paraId="023F26C3" w14:textId="77777777" w:rsidR="00784409" w:rsidRDefault="00784409" w:rsidP="006B3755">
            <w:r w:rsidRPr="00784409">
              <w:t>Focus 14 y Focus 40 Blue</w:t>
            </w:r>
          </w:p>
        </w:tc>
      </w:tr>
      <w:tr w:rsidR="00784409" w14:paraId="023F26C7" w14:textId="77777777" w:rsidTr="00FC433C">
        <w:tc>
          <w:tcPr>
            <w:tcW w:w="2335" w:type="dxa"/>
          </w:tcPr>
          <w:p w14:paraId="023F26C5" w14:textId="77777777" w:rsidR="00784409" w:rsidRPr="00F84874" w:rsidRDefault="00784409" w:rsidP="006B3755">
            <w:pPr>
              <w:rPr>
                <w:b/>
              </w:rPr>
            </w:pPr>
            <w:r w:rsidRPr="00F84874">
              <w:rPr>
                <w:b/>
              </w:rPr>
              <w:t>Compañía</w:t>
            </w:r>
          </w:p>
        </w:tc>
        <w:tc>
          <w:tcPr>
            <w:tcW w:w="7015" w:type="dxa"/>
          </w:tcPr>
          <w:p w14:paraId="023F26C6" w14:textId="77777777" w:rsidR="00784409" w:rsidRDefault="00784409" w:rsidP="006B3755">
            <w:r w:rsidRPr="00784409">
              <w:t>Freedom Scientific</w:t>
            </w:r>
          </w:p>
        </w:tc>
      </w:tr>
      <w:tr w:rsidR="00784409" w14:paraId="023F26CA" w14:textId="77777777" w:rsidTr="00FC433C">
        <w:tc>
          <w:tcPr>
            <w:tcW w:w="2335" w:type="dxa"/>
          </w:tcPr>
          <w:p w14:paraId="023F26C8" w14:textId="77777777" w:rsidR="00784409" w:rsidRPr="00F84874" w:rsidRDefault="00784409" w:rsidP="006B3755">
            <w:pPr>
              <w:rPr>
                <w:b/>
              </w:rPr>
            </w:pPr>
            <w:r w:rsidRPr="00F84874">
              <w:rPr>
                <w:b/>
              </w:rPr>
              <w:t>Tipo de equipo</w:t>
            </w:r>
          </w:p>
        </w:tc>
        <w:tc>
          <w:tcPr>
            <w:tcW w:w="7015" w:type="dxa"/>
          </w:tcPr>
          <w:p w14:paraId="023F26C9" w14:textId="77777777" w:rsidR="00784409" w:rsidRDefault="00784409" w:rsidP="006B3755">
            <w:r w:rsidRPr="00784409">
              <w:t>Línea (pantalla) braille con tec</w:t>
            </w:r>
            <w:r w:rsidR="00341548">
              <w:t>lado braille integrado y conexio</w:t>
            </w:r>
            <w:r w:rsidRPr="00784409">
              <w:t>nes Bluetooth y USB</w:t>
            </w:r>
          </w:p>
        </w:tc>
      </w:tr>
      <w:tr w:rsidR="00784409" w14:paraId="023F26CD" w14:textId="77777777" w:rsidTr="00FC433C">
        <w:tc>
          <w:tcPr>
            <w:tcW w:w="2335" w:type="dxa"/>
          </w:tcPr>
          <w:p w14:paraId="023F26CB" w14:textId="77777777" w:rsidR="00784409" w:rsidRPr="00F84874" w:rsidRDefault="00784409" w:rsidP="006B3755">
            <w:pPr>
              <w:rPr>
                <w:b/>
              </w:rPr>
            </w:pPr>
            <w:r w:rsidRPr="00F84874">
              <w:rPr>
                <w:b/>
              </w:rPr>
              <w:t>Categoría(s)</w:t>
            </w:r>
          </w:p>
        </w:tc>
        <w:tc>
          <w:tcPr>
            <w:tcW w:w="7015" w:type="dxa"/>
          </w:tcPr>
          <w:p w14:paraId="023F26CC" w14:textId="77777777" w:rsidR="00784409" w:rsidRDefault="00784409" w:rsidP="006B3755">
            <w:r w:rsidRPr="00784409">
              <w:t>Visión, audición (sordo-ciegos)</w:t>
            </w:r>
          </w:p>
        </w:tc>
      </w:tr>
      <w:tr w:rsidR="00784409" w14:paraId="023F26D0" w14:textId="77777777" w:rsidTr="00FC433C">
        <w:tc>
          <w:tcPr>
            <w:tcW w:w="2335" w:type="dxa"/>
          </w:tcPr>
          <w:p w14:paraId="023F26CE" w14:textId="77777777" w:rsidR="00784409" w:rsidRPr="00F84874" w:rsidRDefault="00784409" w:rsidP="006B3755">
            <w:pPr>
              <w:rPr>
                <w:b/>
              </w:rPr>
            </w:pPr>
            <w:r w:rsidRPr="00F84874">
              <w:rPr>
                <w:b/>
              </w:rPr>
              <w:t>Precio</w:t>
            </w:r>
          </w:p>
        </w:tc>
        <w:tc>
          <w:tcPr>
            <w:tcW w:w="7015" w:type="dxa"/>
          </w:tcPr>
          <w:p w14:paraId="023F26CF" w14:textId="77777777" w:rsidR="00784409" w:rsidRDefault="00784409" w:rsidP="006B3755">
            <w:r w:rsidRPr="00784409">
              <w:t>Focus 14 Blue ($1,295), Focus 40 Blue ($2,795)</w:t>
            </w:r>
          </w:p>
        </w:tc>
      </w:tr>
      <w:tr w:rsidR="00784409" w14:paraId="023F26D3" w14:textId="77777777" w:rsidTr="00FC433C">
        <w:tc>
          <w:tcPr>
            <w:tcW w:w="2335" w:type="dxa"/>
          </w:tcPr>
          <w:p w14:paraId="023F26D1" w14:textId="77777777" w:rsidR="00784409" w:rsidRPr="00F84874" w:rsidRDefault="00784409" w:rsidP="006B3755">
            <w:pPr>
              <w:rPr>
                <w:b/>
              </w:rPr>
            </w:pPr>
            <w:r w:rsidRPr="00F84874">
              <w:rPr>
                <w:b/>
              </w:rPr>
              <w:t>Plataforma de uso</w:t>
            </w:r>
          </w:p>
        </w:tc>
        <w:tc>
          <w:tcPr>
            <w:tcW w:w="7015" w:type="dxa"/>
          </w:tcPr>
          <w:p w14:paraId="023F26D2" w14:textId="77777777" w:rsidR="00784409" w:rsidRDefault="00784409" w:rsidP="006B3755">
            <w:r w:rsidRPr="00784409">
              <w:t>iOS, Android, Windows, Mac</w:t>
            </w:r>
          </w:p>
        </w:tc>
      </w:tr>
      <w:tr w:rsidR="00784409" w14:paraId="023F26D6" w14:textId="77777777" w:rsidTr="00FC433C">
        <w:tc>
          <w:tcPr>
            <w:tcW w:w="2335" w:type="dxa"/>
          </w:tcPr>
          <w:p w14:paraId="023F26D4" w14:textId="77777777" w:rsidR="00784409" w:rsidRPr="00F84874" w:rsidRDefault="00784409" w:rsidP="006B3755">
            <w:pPr>
              <w:rPr>
                <w:b/>
              </w:rPr>
            </w:pPr>
            <w:r w:rsidRPr="00F84874">
              <w:rPr>
                <w:b/>
              </w:rPr>
              <w:t>Idioma</w:t>
            </w:r>
          </w:p>
        </w:tc>
        <w:tc>
          <w:tcPr>
            <w:tcW w:w="7015" w:type="dxa"/>
          </w:tcPr>
          <w:p w14:paraId="023F26D5" w14:textId="77777777" w:rsidR="00784409" w:rsidRDefault="00784409" w:rsidP="006B3755">
            <w:r w:rsidRPr="00784409">
              <w:t>Compatibles con  la mayoría de los códigos braille: Unified English Braille (UEB), español sin contracciones, etc</w:t>
            </w:r>
            <w:r w:rsidR="00341548">
              <w:t>.</w:t>
            </w:r>
          </w:p>
        </w:tc>
      </w:tr>
      <w:tr w:rsidR="00784409" w14:paraId="023F26D9" w14:textId="77777777" w:rsidTr="00FC433C">
        <w:tc>
          <w:tcPr>
            <w:tcW w:w="2335" w:type="dxa"/>
          </w:tcPr>
          <w:p w14:paraId="023F26D7" w14:textId="77777777" w:rsidR="00784409" w:rsidRPr="00F84874" w:rsidRDefault="00784409" w:rsidP="006B3755">
            <w:pPr>
              <w:rPr>
                <w:b/>
              </w:rPr>
            </w:pPr>
            <w:r w:rsidRPr="00F84874">
              <w:rPr>
                <w:b/>
              </w:rPr>
              <w:t>Página web</w:t>
            </w:r>
          </w:p>
        </w:tc>
        <w:tc>
          <w:tcPr>
            <w:tcW w:w="7015" w:type="dxa"/>
          </w:tcPr>
          <w:p w14:paraId="023F26D8" w14:textId="77777777" w:rsidR="00784409" w:rsidRDefault="00B21CA4" w:rsidP="006B3755">
            <w:hyperlink r:id="rId11" w:history="1">
              <w:r w:rsidR="00784409" w:rsidRPr="00575E4D">
                <w:rPr>
                  <w:rStyle w:val="Hyperlink"/>
                </w:rPr>
                <w:t>www.freedomscientific.com</w:t>
              </w:r>
            </w:hyperlink>
          </w:p>
        </w:tc>
      </w:tr>
    </w:tbl>
    <w:p w14:paraId="023F26DA" w14:textId="77777777" w:rsidR="00784409" w:rsidRDefault="00784409" w:rsidP="006B3755"/>
    <w:p w14:paraId="023F26DB" w14:textId="77777777" w:rsidR="006B3755" w:rsidRPr="00396F93" w:rsidRDefault="00500413" w:rsidP="00396F93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396F93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Descripción</w:t>
      </w:r>
    </w:p>
    <w:p w14:paraId="023F26DC" w14:textId="77777777" w:rsidR="00500413" w:rsidRPr="00A03EE1" w:rsidRDefault="00500413" w:rsidP="00500413"/>
    <w:p w14:paraId="023F26DD" w14:textId="77777777" w:rsidR="00C13D7D" w:rsidRDefault="00E417B8" w:rsidP="00E417B8">
      <w:r w:rsidRPr="00227B7A">
        <w:t xml:space="preserve">Focus 14 y </w:t>
      </w:r>
      <w:r>
        <w:t xml:space="preserve">Focus </w:t>
      </w:r>
      <w:r w:rsidRPr="00227B7A">
        <w:t>40 son dos d</w:t>
      </w:r>
      <w:r>
        <w:t>e las líneas (pantallas) braille más populares de la serie Blue de Freedom Scientific. Ambos modelos tienen conexión USB y Bluetooth y son compatibles con las plataformas más importantes del mercado: iOS, Android, Windows y Mac. Al igual que otras líneas braille, en la serie Focus, el número incluido en el modelo del equipo corresponde a la cantidad de celdas braille que tienen (en este caso, 14 y 40 celdas, respectivamente)</w:t>
      </w:r>
      <w:r w:rsidR="00C13D7D">
        <w:t>.</w:t>
      </w:r>
    </w:p>
    <w:p w14:paraId="023F26DE" w14:textId="77777777" w:rsidR="0034775E" w:rsidRDefault="0034775E" w:rsidP="00E417B8"/>
    <w:p w14:paraId="023F26DF" w14:textId="77777777" w:rsidR="00C13D7D" w:rsidRDefault="0034775E" w:rsidP="0034775E">
      <w:pPr>
        <w:jc w:val="center"/>
      </w:pPr>
      <w:r>
        <w:rPr>
          <w:rFonts w:ascii="Verdana" w:hAnsi="Verdana"/>
          <w:noProof/>
          <w:color w:val="525252"/>
          <w:lang w:eastAsia="es-PR"/>
        </w:rPr>
        <w:drawing>
          <wp:inline distT="0" distB="0" distL="0" distR="0" wp14:anchorId="023F276D" wp14:editId="023F276E">
            <wp:extent cx="2365375" cy="1466850"/>
            <wp:effectExtent l="0" t="0" r="0" b="0"/>
            <wp:docPr id="5" name="Picture 5" descr="Imagen del Focus 14 Blue Braille 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cus 14 Blue Braille Display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27" b="6441"/>
                    <a:stretch/>
                  </pic:blipFill>
                  <pic:spPr bwMode="auto">
                    <a:xfrm>
                      <a:off x="0" y="0"/>
                      <a:ext cx="23653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F26E0" w14:textId="77777777" w:rsidR="0034775E" w:rsidRDefault="0034775E" w:rsidP="00E417B8"/>
    <w:p w14:paraId="023F26E1" w14:textId="77777777" w:rsidR="00E417B8" w:rsidRDefault="00C13D7D" w:rsidP="00E417B8">
      <w:r>
        <w:t>Una línea braille provee acceso a la información presentada en una pantalla de computadora, tableta o teléfono inteligente al elevar y bajar combinaciones de puntos en una celda braille</w:t>
      </w:r>
      <w:r w:rsidR="00E417B8">
        <w:t>.</w:t>
      </w:r>
      <w:r>
        <w:t xml:space="preserve"> Al ser una línea dinámica, los puntos </w:t>
      </w:r>
      <w:r w:rsidR="00845799">
        <w:t xml:space="preserve">braille </w:t>
      </w:r>
      <w:r>
        <w:t xml:space="preserve">cambian continuamente a medida que el usuario </w:t>
      </w:r>
      <w:r w:rsidR="00845799">
        <w:lastRenderedPageBreak/>
        <w:t xml:space="preserve">desplaza </w:t>
      </w:r>
      <w:r>
        <w:t>el cursor a través de la pantalla</w:t>
      </w:r>
      <w:r w:rsidR="00845799">
        <w:t>. Además de una pantalla braille, equipos como el Focus 14 y el Focus 40 integran también un teclado braille para funcionar simultáneamente como un sistema de entrada y salida de información. Para las personas ciegas, las pantallas braille facilitan el acceso directo a la información</w:t>
      </w:r>
      <w:r w:rsidR="00564021">
        <w:t xml:space="preserve"> sin algunas de las desventajas que presenta un sintetizador de voz (ej. ruido, dificultad para revisar ortografía, espacios y formato). Para las personas sordo-ciegas, </w:t>
      </w:r>
      <w:r w:rsidR="003F6BD1">
        <w:t>las pantallas braille son prácticamente el único medio para acceso independiente a computadoras, tabletas y teléfonos inteligentes.</w:t>
      </w:r>
    </w:p>
    <w:p w14:paraId="023F26E2" w14:textId="77777777" w:rsidR="003F6BD1" w:rsidRDefault="003F6BD1" w:rsidP="00E417B8">
      <w:pPr>
        <w:rPr>
          <w:rFonts w:ascii="Verdana" w:hAnsi="Verdana"/>
          <w:noProof/>
          <w:color w:val="525252"/>
        </w:rPr>
      </w:pPr>
    </w:p>
    <w:p w14:paraId="023F26E3" w14:textId="77777777" w:rsidR="00E417B8" w:rsidRPr="009A2C1F" w:rsidRDefault="00101C01" w:rsidP="00BE6CFD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A2C1F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 xml:space="preserve">Distribución de los controles en los equipos Focus 14 y </w:t>
      </w:r>
      <w:r w:rsidR="00E417B8" w:rsidRPr="009A2C1F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Focus 40 Blue</w:t>
      </w:r>
    </w:p>
    <w:p w14:paraId="023F26E4" w14:textId="77777777" w:rsidR="00E417B8" w:rsidRPr="00101C01" w:rsidRDefault="00E417B8" w:rsidP="00E417B8">
      <w:pPr>
        <w:rPr>
          <w:lang w:val="es-ES"/>
        </w:rPr>
      </w:pPr>
    </w:p>
    <w:p w14:paraId="023F26E5" w14:textId="77777777" w:rsidR="00E417B8" w:rsidRPr="005112ED" w:rsidRDefault="00101C01" w:rsidP="00101C01">
      <w:pPr>
        <w:pStyle w:val="Heading3"/>
        <w:ind w:firstLine="720"/>
        <w:rPr>
          <w:rFonts w:ascii="Times New Roman" w:hAnsi="Times New Roman" w:cs="Times New Roman"/>
          <w:b/>
          <w:color w:val="auto"/>
        </w:rPr>
      </w:pPr>
      <w:r w:rsidRPr="005112ED">
        <w:rPr>
          <w:rFonts w:ascii="Times New Roman" w:hAnsi="Times New Roman" w:cs="Times New Roman"/>
          <w:b/>
          <w:color w:val="auto"/>
        </w:rPr>
        <w:t>Lado izquierdo del equipo</w:t>
      </w:r>
    </w:p>
    <w:p w14:paraId="023F26E6" w14:textId="77777777" w:rsidR="00101C01" w:rsidRPr="00101C01" w:rsidRDefault="00101C01" w:rsidP="00101C01"/>
    <w:p w14:paraId="023F26E7" w14:textId="77777777" w:rsidR="00E417B8" w:rsidRDefault="00E417B8" w:rsidP="00101C01">
      <w:pPr>
        <w:ind w:left="720"/>
      </w:pPr>
      <w:r>
        <w:rPr>
          <w:rFonts w:ascii="Arial" w:hAnsi="Arial" w:cs="Arial"/>
          <w:noProof/>
          <w:lang w:eastAsia="es-PR"/>
        </w:rPr>
        <w:drawing>
          <wp:inline distT="0" distB="0" distL="0" distR="0" wp14:anchorId="023F276F" wp14:editId="023F2770">
            <wp:extent cx="1238250" cy="1123950"/>
            <wp:effectExtent l="0" t="0" r="0" b="0"/>
            <wp:docPr id="2" name="Picture 2" descr="Vista del lado izquierdo del Focus 40 Blue mostrando el botón de enscendido/apagado y el puerto micro 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ft side view of the Focus 40 Blue showing the power button and USB por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26E8" w14:textId="77777777" w:rsidR="00101C01" w:rsidRDefault="00101C01" w:rsidP="00101C01">
      <w:pPr>
        <w:pStyle w:val="ListParagraph"/>
      </w:pPr>
    </w:p>
    <w:p w14:paraId="023F26E9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t xml:space="preserve">(1) </w:t>
      </w:r>
      <w:r w:rsidR="00E417B8">
        <w:t>Botón de Encendido/Apagado – primer control ubicado al deslizarse de</w:t>
      </w:r>
      <w:r w:rsidR="00422740">
        <w:t>sde</w:t>
      </w:r>
      <w:r w:rsidR="00E417B8">
        <w:t xml:space="preserve"> la parte frontal hacia la parte trasera.</w:t>
      </w:r>
    </w:p>
    <w:p w14:paraId="023F26EA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t xml:space="preserve">(2) </w:t>
      </w:r>
      <w:r w:rsidR="00E417B8">
        <w:t xml:space="preserve">Puerto micro USB – localizado </w:t>
      </w:r>
      <w:r w:rsidR="00422740">
        <w:t>detrás del botón de e</w:t>
      </w:r>
      <w:r w:rsidR="00E417B8">
        <w:t>ncendido/apagado.</w:t>
      </w:r>
    </w:p>
    <w:p w14:paraId="023F26EB" w14:textId="77777777" w:rsidR="00422740" w:rsidRDefault="00422740" w:rsidP="00422740"/>
    <w:p w14:paraId="023F26EC" w14:textId="77777777" w:rsidR="00E417B8" w:rsidRPr="005112ED" w:rsidRDefault="00E417B8" w:rsidP="00101C01">
      <w:pPr>
        <w:pStyle w:val="Heading3"/>
        <w:ind w:firstLine="720"/>
        <w:rPr>
          <w:rFonts w:ascii="Times New Roman" w:hAnsi="Times New Roman" w:cs="Times New Roman"/>
          <w:b/>
          <w:color w:val="auto"/>
        </w:rPr>
      </w:pPr>
      <w:r w:rsidRPr="005112ED">
        <w:rPr>
          <w:rFonts w:ascii="Times New Roman" w:hAnsi="Times New Roman" w:cs="Times New Roman"/>
          <w:b/>
          <w:color w:val="auto"/>
        </w:rPr>
        <w:t>Parte superior</w:t>
      </w:r>
      <w:r w:rsidR="00101C01" w:rsidRPr="005112ED">
        <w:rPr>
          <w:rFonts w:ascii="Times New Roman" w:hAnsi="Times New Roman" w:cs="Times New Roman"/>
          <w:b/>
          <w:color w:val="auto"/>
        </w:rPr>
        <w:t xml:space="preserve"> del equipo</w:t>
      </w:r>
    </w:p>
    <w:p w14:paraId="023F26ED" w14:textId="77777777" w:rsidR="00101C01" w:rsidRPr="00101C01" w:rsidRDefault="00101C01" w:rsidP="00101C01"/>
    <w:p w14:paraId="023F26EE" w14:textId="77777777" w:rsidR="00E417B8" w:rsidRDefault="00E417B8" w:rsidP="00101C01">
      <w:pPr>
        <w:ind w:left="720"/>
      </w:pPr>
      <w:r>
        <w:rPr>
          <w:rFonts w:ascii="Arial" w:hAnsi="Arial" w:cs="Arial"/>
          <w:noProof/>
          <w:lang w:eastAsia="es-PR"/>
        </w:rPr>
        <w:drawing>
          <wp:inline distT="0" distB="0" distL="0" distR="0" wp14:anchorId="023F2771" wp14:editId="023F2772">
            <wp:extent cx="4772025" cy="1743075"/>
            <wp:effectExtent l="0" t="0" r="9525" b="9525"/>
            <wp:docPr id="3" name="Picture 3" descr="Vista de la parte superior del Focus 40 Blue mostrando las celdas braille, botones de desplazamiento, barras de navegación, botones para cambiar el modo de navegación, teclado braille, y la Barra de espaci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view of the Focus 40 Blue showing the refreshable braille cells, cursor routers, navigation rockers, mode buttons, Perkins-style keyboard, and SPACEBAR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26EF" w14:textId="77777777" w:rsidR="003F6BD1" w:rsidRDefault="003F6BD1" w:rsidP="00101C01">
      <w:pPr>
        <w:ind w:left="720"/>
      </w:pPr>
    </w:p>
    <w:p w14:paraId="023F26F0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t xml:space="preserve">(3) </w:t>
      </w:r>
      <w:r w:rsidR="00E417B8">
        <w:t>Celdas braille – ubicadas hacia la parte frontal del dispositivo.</w:t>
      </w:r>
    </w:p>
    <w:p w14:paraId="023F26F1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t xml:space="preserve">(4) </w:t>
      </w:r>
      <w:r w:rsidR="00E417B8">
        <w:t>Botones de desplazamiento del cursor – localizados arriba de cada celda braille.</w:t>
      </w:r>
    </w:p>
    <w:p w14:paraId="023F26F2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t xml:space="preserve">(5) </w:t>
      </w:r>
      <w:r w:rsidR="00E417B8">
        <w:t>B</w:t>
      </w:r>
      <w:r w:rsidR="00422740">
        <w:t>otones dobles de navegación – localizado</w:t>
      </w:r>
      <w:r w:rsidR="00E417B8">
        <w:t>s a ambos lados del área de las celdas braille.</w:t>
      </w:r>
    </w:p>
    <w:p w14:paraId="023F26F3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t xml:space="preserve">(6) </w:t>
      </w:r>
      <w:r w:rsidR="00E417B8">
        <w:t>Botones para cambiar el modo de navega</w:t>
      </w:r>
      <w:r w:rsidR="00422740">
        <w:t xml:space="preserve">ción – localizados arriba de los botones dobles de </w:t>
      </w:r>
      <w:r w:rsidR="00E417B8">
        <w:t>navegación.</w:t>
      </w:r>
    </w:p>
    <w:p w14:paraId="023F26F4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t xml:space="preserve">(7) </w:t>
      </w:r>
      <w:r w:rsidR="00E417B8">
        <w:t>Teclado braille – localizado arriba de los botones de desplazamiento del cursor. El orden de los puntos del teclado braille es el siguiente: Puntos 1, 2, 3, 7 a la izquierda y los puntos 4, 5, 6, 8 a la derecha.</w:t>
      </w:r>
    </w:p>
    <w:p w14:paraId="023F26F5" w14:textId="77777777" w:rsidR="00E417B8" w:rsidRDefault="00101C01" w:rsidP="00E417B8">
      <w:pPr>
        <w:pStyle w:val="ListParagraph"/>
        <w:numPr>
          <w:ilvl w:val="0"/>
          <w:numId w:val="10"/>
        </w:numPr>
      </w:pPr>
      <w:r>
        <w:lastRenderedPageBreak/>
        <w:t xml:space="preserve">(8) </w:t>
      </w:r>
      <w:r w:rsidR="00E417B8">
        <w:t>Barra de espacio – localizada en el centro, debajo de las celdas braille.</w:t>
      </w:r>
    </w:p>
    <w:p w14:paraId="023F26F6" w14:textId="77777777" w:rsidR="007B010B" w:rsidRDefault="007B010B" w:rsidP="007B010B"/>
    <w:p w14:paraId="023F26F7" w14:textId="77777777" w:rsidR="00E417B8" w:rsidRPr="005112ED" w:rsidRDefault="00E417B8" w:rsidP="00CF26DA">
      <w:pPr>
        <w:pStyle w:val="Heading3"/>
        <w:ind w:firstLine="720"/>
        <w:rPr>
          <w:rFonts w:ascii="Times New Roman" w:hAnsi="Times New Roman" w:cs="Times New Roman"/>
          <w:b/>
          <w:color w:val="auto"/>
        </w:rPr>
      </w:pPr>
      <w:r w:rsidRPr="005112ED">
        <w:rPr>
          <w:rFonts w:ascii="Times New Roman" w:hAnsi="Times New Roman" w:cs="Times New Roman"/>
          <w:b/>
          <w:color w:val="auto"/>
        </w:rPr>
        <w:t>Parte frontal</w:t>
      </w:r>
      <w:r w:rsidR="00101C01" w:rsidRPr="005112ED">
        <w:rPr>
          <w:rFonts w:ascii="Times New Roman" w:hAnsi="Times New Roman" w:cs="Times New Roman"/>
          <w:b/>
          <w:color w:val="auto"/>
        </w:rPr>
        <w:t xml:space="preserve"> del equipo</w:t>
      </w:r>
    </w:p>
    <w:p w14:paraId="023F26F8" w14:textId="77777777" w:rsidR="00101C01" w:rsidRPr="00101C01" w:rsidRDefault="00101C01" w:rsidP="00101C01"/>
    <w:p w14:paraId="023F26F9" w14:textId="77777777" w:rsidR="00E417B8" w:rsidRDefault="00E417B8" w:rsidP="00E417B8">
      <w:r>
        <w:rPr>
          <w:rFonts w:ascii="Arial" w:hAnsi="Arial" w:cs="Arial"/>
          <w:noProof/>
          <w:lang w:eastAsia="es-PR"/>
        </w:rPr>
        <w:drawing>
          <wp:inline distT="0" distB="0" distL="0" distR="0" wp14:anchorId="023F2773" wp14:editId="023F2774">
            <wp:extent cx="4057650" cy="1647825"/>
            <wp:effectExtent l="0" t="0" r="0" b="9525"/>
            <wp:docPr id="4" name="Picture 4" descr="Vista frontal del Focus 40 Blue mostrando las mayúsculas, botones de selección, las barras y los botones de desplazamien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ont view of the Focus 40 Blue showing the SHIFT keys, selector buttons, rocker bars, and panning buttons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26FA" w14:textId="77777777" w:rsidR="00422740" w:rsidRDefault="00422740" w:rsidP="00E417B8"/>
    <w:p w14:paraId="023F26FB" w14:textId="77777777" w:rsidR="00E417B8" w:rsidRDefault="00E417B8" w:rsidP="00E417B8">
      <w:r>
        <w:t xml:space="preserve">En la parte frontal del </w:t>
      </w:r>
      <w:r w:rsidR="00422740">
        <w:t>equipo</w:t>
      </w:r>
      <w:r>
        <w:t xml:space="preserve"> se encuentran ubicados los siguientes controles, de izquierda a derecha:</w:t>
      </w:r>
    </w:p>
    <w:p w14:paraId="023F26FC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(9A) </w:t>
      </w:r>
      <w:r w:rsidR="00E417B8">
        <w:t>Bo</w:t>
      </w:r>
      <w:r w:rsidR="00422740">
        <w:t>tón izquierdo de desplazamiento (</w:t>
      </w:r>
      <w:r w:rsidR="00422740" w:rsidRPr="00422740">
        <w:rPr>
          <w:i/>
        </w:rPr>
        <w:t>pan left</w:t>
      </w:r>
      <w:r w:rsidR="00422740">
        <w:t>).</w:t>
      </w:r>
    </w:p>
    <w:p w14:paraId="023F26FD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(10A) </w:t>
      </w:r>
      <w:r w:rsidR="00E417B8">
        <w:t>Barra izquierda.</w:t>
      </w:r>
    </w:p>
    <w:p w14:paraId="023F26FE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(11A) </w:t>
      </w:r>
      <w:r w:rsidR="00E417B8">
        <w:t>Botón izquierdo de selección.</w:t>
      </w:r>
    </w:p>
    <w:p w14:paraId="023F26FF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(12A) </w:t>
      </w:r>
      <w:r w:rsidR="00E417B8">
        <w:t>Mayúscula izquierda</w:t>
      </w:r>
      <w:r w:rsidR="00422740">
        <w:t xml:space="preserve"> (</w:t>
      </w:r>
      <w:r w:rsidR="00422740" w:rsidRPr="00422740">
        <w:rPr>
          <w:i/>
        </w:rPr>
        <w:t>left shift</w:t>
      </w:r>
      <w:r w:rsidR="00422740">
        <w:t>)</w:t>
      </w:r>
      <w:r w:rsidR="00E417B8">
        <w:t>.</w:t>
      </w:r>
    </w:p>
    <w:p w14:paraId="023F2700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(12B) </w:t>
      </w:r>
      <w:r w:rsidR="00422740">
        <w:t>Mayúscula derecha (</w:t>
      </w:r>
      <w:r w:rsidR="00422740" w:rsidRPr="00422740">
        <w:rPr>
          <w:i/>
        </w:rPr>
        <w:t>right shift</w:t>
      </w:r>
      <w:r w:rsidR="00422740">
        <w:t>).</w:t>
      </w:r>
    </w:p>
    <w:p w14:paraId="023F2701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(11B) </w:t>
      </w:r>
      <w:r w:rsidR="00E417B8">
        <w:t>Botón derecho de selección.</w:t>
      </w:r>
    </w:p>
    <w:p w14:paraId="023F2702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(10B) </w:t>
      </w:r>
      <w:r w:rsidR="00E417B8">
        <w:t>Barra derecha.</w:t>
      </w:r>
    </w:p>
    <w:p w14:paraId="023F2703" w14:textId="77777777" w:rsidR="00E417B8" w:rsidRDefault="00BE6CFD" w:rsidP="00E417B8">
      <w:pPr>
        <w:pStyle w:val="ListParagraph"/>
        <w:numPr>
          <w:ilvl w:val="0"/>
          <w:numId w:val="10"/>
        </w:numPr>
      </w:pPr>
      <w:r>
        <w:t xml:space="preserve">(9B) </w:t>
      </w:r>
      <w:r w:rsidR="00E417B8">
        <w:t>Botón derecho d</w:t>
      </w:r>
      <w:r w:rsidR="00422740">
        <w:t>e desplazamiento (</w:t>
      </w:r>
      <w:r w:rsidR="00422740" w:rsidRPr="00422740">
        <w:rPr>
          <w:i/>
        </w:rPr>
        <w:t>pan right</w:t>
      </w:r>
      <w:r w:rsidR="00422740">
        <w:t>).</w:t>
      </w:r>
    </w:p>
    <w:p w14:paraId="023F2704" w14:textId="77777777" w:rsidR="00E417B8" w:rsidRDefault="00E417B8" w:rsidP="00E417B8"/>
    <w:p w14:paraId="023F2705" w14:textId="77777777" w:rsidR="00E417B8" w:rsidRPr="009A2C1F" w:rsidRDefault="00E417B8" w:rsidP="00E417B8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A2C1F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Observaciones</w:t>
      </w:r>
    </w:p>
    <w:p w14:paraId="023F2706" w14:textId="77777777" w:rsidR="00E417B8" w:rsidRDefault="00E417B8" w:rsidP="00E417B8"/>
    <w:p w14:paraId="023F2707" w14:textId="77777777" w:rsidR="00E417B8" w:rsidRDefault="00E417B8" w:rsidP="00422740">
      <w:pPr>
        <w:ind w:left="720"/>
      </w:pPr>
      <w:r w:rsidRPr="00BE6CFD">
        <w:rPr>
          <w:b/>
          <w:i/>
        </w:rPr>
        <w:t>Construcción</w:t>
      </w:r>
      <w:r w:rsidR="00422740">
        <w:rPr>
          <w:b/>
          <w:i/>
        </w:rPr>
        <w:t xml:space="preserve">: </w:t>
      </w:r>
      <w:r>
        <w:t xml:space="preserve">Al utilizar el Focus 14 y el Focus 40, notamos que son equipos livianos, pero de fuerte construcción. En comparación con la serie Brailliant de Humanware, la serie Focus es más liviana, pero </w:t>
      </w:r>
      <w:r w:rsidR="00422740">
        <w:t xml:space="preserve">aparenta tener una </w:t>
      </w:r>
      <w:r>
        <w:t xml:space="preserve">construcción </w:t>
      </w:r>
      <w:r w:rsidR="00422740">
        <w:t>menos sólida que la serie</w:t>
      </w:r>
      <w:r>
        <w:t xml:space="preserve"> Brailliant</w:t>
      </w:r>
      <w:r w:rsidR="00422740">
        <w:t>.</w:t>
      </w:r>
    </w:p>
    <w:p w14:paraId="023F2708" w14:textId="77777777" w:rsidR="00E417B8" w:rsidRDefault="00E417B8" w:rsidP="00422740"/>
    <w:p w14:paraId="023F2709" w14:textId="77777777" w:rsidR="00E417B8" w:rsidRDefault="00E417B8" w:rsidP="00422740">
      <w:pPr>
        <w:ind w:left="720"/>
      </w:pPr>
      <w:r w:rsidRPr="00BE6CFD">
        <w:rPr>
          <w:b/>
          <w:i/>
        </w:rPr>
        <w:t>Celdas braille</w:t>
      </w:r>
      <w:r w:rsidR="00422740">
        <w:rPr>
          <w:b/>
          <w:i/>
        </w:rPr>
        <w:t xml:space="preserve">: </w:t>
      </w:r>
      <w:r w:rsidR="00406943">
        <w:t xml:space="preserve">La proyección (altura) de los puntos braille es apropiada y fácil de </w:t>
      </w:r>
      <w:r>
        <w:t xml:space="preserve">diferenciar con los dedos. Esto resulta en una rápida identificación de las combinaciones de puntos, facilitando la lectura durante periodos prolongados. </w:t>
      </w:r>
      <w:r w:rsidR="00406943">
        <w:t>E</w:t>
      </w:r>
      <w:r>
        <w:t>l grosor y la consistencia de la celda braille en la serie Focus</w:t>
      </w:r>
      <w:r w:rsidR="00406943">
        <w:t xml:space="preserve"> se percibe como superior en calidad, en comparación con</w:t>
      </w:r>
      <w:r>
        <w:t xml:space="preserve"> otras líneas braille como el Refreshabraille 18 de APH o el Brailliant de Humanware.</w:t>
      </w:r>
    </w:p>
    <w:p w14:paraId="023F270A" w14:textId="77777777" w:rsidR="00E417B8" w:rsidRDefault="00E417B8" w:rsidP="00422740">
      <w:pPr>
        <w:ind w:left="720"/>
      </w:pPr>
    </w:p>
    <w:p w14:paraId="023F270B" w14:textId="77777777" w:rsidR="00E417B8" w:rsidRDefault="00E417B8" w:rsidP="00422740">
      <w:pPr>
        <w:ind w:left="720"/>
      </w:pPr>
      <w:r w:rsidRPr="00BE6CFD">
        <w:rPr>
          <w:b/>
          <w:i/>
        </w:rPr>
        <w:t>Teclado braille</w:t>
      </w:r>
      <w:r w:rsidR="00422740">
        <w:rPr>
          <w:b/>
          <w:i/>
        </w:rPr>
        <w:t xml:space="preserve">: </w:t>
      </w:r>
      <w:r>
        <w:t xml:space="preserve">La distribución del teclado braille </w:t>
      </w:r>
      <w:r w:rsidR="00406943">
        <w:t>(</w:t>
      </w:r>
      <w:r>
        <w:t>estilo Perkins</w:t>
      </w:r>
      <w:r w:rsidR="00406943">
        <w:t>)</w:t>
      </w:r>
      <w:r>
        <w:t xml:space="preserve"> y los controles adicionales en la serie Focus Blue, es idéntica en ambas líneas (Focus 14 o 40), pero en el Focus 14 Blue, </w:t>
      </w:r>
      <w:r w:rsidR="00406943">
        <w:t xml:space="preserve">los botones </w:t>
      </w:r>
      <w:r>
        <w:t xml:space="preserve">son un poco </w:t>
      </w:r>
      <w:r w:rsidR="00406943">
        <w:t>más peque</w:t>
      </w:r>
      <w:r>
        <w:t>ños y con menor espacio entre ellos. El diseño del teclado braille en la serie Focus Blue es ergonómico e intuitivo, facilitando la escritura durante periodos prolongados. La distribución de</w:t>
      </w:r>
      <w:r w:rsidR="00341548">
        <w:t>l teclado y su uso en la Serie F</w:t>
      </w:r>
      <w:r>
        <w:t>ocus es de los más cómodos en el mercado, de calidad superior al BraillePen, al Refreshabraille, e incluso mejor que el Brailliant de Humanware.</w:t>
      </w:r>
    </w:p>
    <w:p w14:paraId="023F270C" w14:textId="77777777" w:rsidR="00E417B8" w:rsidRDefault="00E417B8" w:rsidP="00422740">
      <w:pPr>
        <w:ind w:left="720"/>
      </w:pPr>
    </w:p>
    <w:p w14:paraId="023F270D" w14:textId="77777777" w:rsidR="00E417B8" w:rsidRDefault="00E417B8" w:rsidP="00422740">
      <w:pPr>
        <w:ind w:left="720"/>
      </w:pPr>
      <w:r w:rsidRPr="00BE6CFD">
        <w:rPr>
          <w:b/>
          <w:i/>
        </w:rPr>
        <w:t>Controles</w:t>
      </w:r>
      <w:r w:rsidR="00422740">
        <w:rPr>
          <w:b/>
          <w:i/>
        </w:rPr>
        <w:t xml:space="preserve">: </w:t>
      </w:r>
      <w:r w:rsidR="00422740">
        <w:t>La</w:t>
      </w:r>
      <w:r>
        <w:t xml:space="preserve"> función de los controles de las líneas braille Focus 14 y Focus 4</w:t>
      </w:r>
      <w:r w:rsidR="00422740">
        <w:t>0 Blue, está condicionada al lec</w:t>
      </w:r>
      <w:r>
        <w:t xml:space="preserve">tor de pantalla o aplicación que se utilice para manejar el dispositivo. </w:t>
      </w:r>
      <w:r w:rsidR="00406943">
        <w:t>L</w:t>
      </w:r>
      <w:r>
        <w:t>os botones de desplazamiento, navegación, barras y selectores</w:t>
      </w:r>
      <w:r w:rsidR="00406943">
        <w:t>, entre otros controles</w:t>
      </w:r>
      <w:r>
        <w:t xml:space="preserve">, permiten navegar </w:t>
      </w:r>
      <w:r w:rsidR="00406943">
        <w:t xml:space="preserve">a través de </w:t>
      </w:r>
      <w:r>
        <w:t>las distintas plataformas</w:t>
      </w:r>
      <w:r w:rsidR="00406943">
        <w:t xml:space="preserve"> y ejecutar variadas funciones. Mediante estos controles es posible </w:t>
      </w:r>
      <w:r>
        <w:t xml:space="preserve">moverse entre las aplicaciones de un iPhone, abrir </w:t>
      </w:r>
      <w:r w:rsidR="00406943">
        <w:t>el menú</w:t>
      </w:r>
      <w:r>
        <w:t xml:space="preserve"> de opciones de Microsoft Word en Windows, abrir el menú de contexto en </w:t>
      </w:r>
      <w:r w:rsidR="00406943">
        <w:t>un teléfono Android, entre otras funciones</w:t>
      </w:r>
      <w:r>
        <w:t xml:space="preserve">. </w:t>
      </w:r>
    </w:p>
    <w:p w14:paraId="023F270E" w14:textId="77777777" w:rsidR="00E417B8" w:rsidRDefault="00E417B8" w:rsidP="00422740">
      <w:pPr>
        <w:ind w:left="720"/>
      </w:pPr>
    </w:p>
    <w:p w14:paraId="023F270F" w14:textId="77777777" w:rsidR="00E417B8" w:rsidRDefault="00E417B8" w:rsidP="00422740">
      <w:pPr>
        <w:ind w:left="720"/>
      </w:pPr>
      <w:r w:rsidRPr="00BE6CFD">
        <w:rPr>
          <w:b/>
          <w:i/>
        </w:rPr>
        <w:t>Duración de la batería</w:t>
      </w:r>
      <w:r w:rsidR="00422740">
        <w:rPr>
          <w:b/>
          <w:i/>
        </w:rPr>
        <w:t>:</w:t>
      </w:r>
      <w:r w:rsidR="00406943">
        <w:rPr>
          <w:b/>
          <w:i/>
        </w:rPr>
        <w:t xml:space="preserve"> </w:t>
      </w:r>
      <w:r w:rsidR="00406943">
        <w:t xml:space="preserve">Una de </w:t>
      </w:r>
      <w:r>
        <w:t xml:space="preserve">las características que más </w:t>
      </w:r>
      <w:r w:rsidR="00406943">
        <w:t>impresionan de la s</w:t>
      </w:r>
      <w:r>
        <w:t xml:space="preserve">erie Focus Blue es </w:t>
      </w:r>
      <w:r w:rsidR="00406943">
        <w:t>la duración de su</w:t>
      </w:r>
      <w:r>
        <w:t xml:space="preserve"> batería. Es por mucho la mejor del mercado, tanto en </w:t>
      </w:r>
      <w:r w:rsidR="00406943">
        <w:t xml:space="preserve">tiempo de </w:t>
      </w:r>
      <w:r>
        <w:t>uso continuo</w:t>
      </w:r>
      <w:r w:rsidR="002B5870">
        <w:t xml:space="preserve"> como también en el tiempo de espera (</w:t>
      </w:r>
      <w:r w:rsidR="002B5870" w:rsidRPr="002B5870">
        <w:rPr>
          <w:i/>
        </w:rPr>
        <w:t>standby</w:t>
      </w:r>
      <w:r w:rsidR="002B5870">
        <w:t>). En las pruebas realizadas</w:t>
      </w:r>
      <w:r>
        <w:t xml:space="preserve"> </w:t>
      </w:r>
      <w:r w:rsidR="002B5870">
        <w:t xml:space="preserve">se observó que luego de </w:t>
      </w:r>
      <w:r>
        <w:t>utiliza</w:t>
      </w:r>
      <w:r w:rsidR="002B5870">
        <w:t xml:space="preserve">r el equipo por un período considerable, la batería registró un </w:t>
      </w:r>
      <w:r>
        <w:t>98% de carga</w:t>
      </w:r>
      <w:r w:rsidR="002B5870">
        <w:t xml:space="preserve"> (sólo un 2% de consumo); luego de apagarlo y encenderlo 2 semanas más tarde, éste aún registraba un 95% de carga.</w:t>
      </w:r>
    </w:p>
    <w:p w14:paraId="023F2710" w14:textId="77777777" w:rsidR="00A962D2" w:rsidRPr="00511F55" w:rsidRDefault="00A962D2" w:rsidP="00511F55">
      <w:pPr>
        <w:rPr>
          <w:color w:val="FF0000"/>
        </w:rPr>
      </w:pPr>
    </w:p>
    <w:p w14:paraId="023F2711" w14:textId="77777777" w:rsidR="00626350" w:rsidRPr="009C5D7A" w:rsidRDefault="00626350" w:rsidP="00626350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C5D7A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Evaluación de Parámetros Básicos</w:t>
      </w:r>
    </w:p>
    <w:p w14:paraId="023F2712" w14:textId="77777777" w:rsidR="00626350" w:rsidRDefault="00626350" w:rsidP="006263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8"/>
        <w:gridCol w:w="2996"/>
      </w:tblGrid>
      <w:tr w:rsidR="007B010B" w14:paraId="023F2715" w14:textId="77777777" w:rsidTr="00D56AAF">
        <w:trPr>
          <w:tblHeader/>
        </w:trPr>
        <w:tc>
          <w:tcPr>
            <w:tcW w:w="3458" w:type="dxa"/>
          </w:tcPr>
          <w:p w14:paraId="023F2713" w14:textId="77777777" w:rsidR="007B010B" w:rsidRPr="00043369" w:rsidRDefault="007B010B" w:rsidP="00F07E14">
            <w:pPr>
              <w:rPr>
                <w:color w:val="000000" w:themeColor="text1"/>
              </w:rPr>
            </w:pPr>
            <w:r w:rsidRPr="00043369">
              <w:rPr>
                <w:color w:val="000000" w:themeColor="text1"/>
              </w:rPr>
              <w:t>Funcionalidad</w:t>
            </w:r>
          </w:p>
        </w:tc>
        <w:tc>
          <w:tcPr>
            <w:tcW w:w="2996" w:type="dxa"/>
          </w:tcPr>
          <w:p w14:paraId="023F2714" w14:textId="77777777" w:rsidR="007B010B" w:rsidRPr="00043369" w:rsidRDefault="007B010B" w:rsidP="00072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043369">
              <w:rPr>
                <w:color w:val="000000" w:themeColor="text1"/>
              </w:rPr>
              <w:t>/5</w:t>
            </w:r>
          </w:p>
        </w:tc>
      </w:tr>
      <w:tr w:rsidR="007B010B" w14:paraId="023F2718" w14:textId="77777777" w:rsidTr="00DE1C53">
        <w:tc>
          <w:tcPr>
            <w:tcW w:w="3458" w:type="dxa"/>
          </w:tcPr>
          <w:p w14:paraId="023F2716" w14:textId="77777777" w:rsidR="007B010B" w:rsidRPr="00043369" w:rsidRDefault="007B010B" w:rsidP="00043369">
            <w:pPr>
              <w:rPr>
                <w:color w:val="000000" w:themeColor="text1"/>
              </w:rPr>
            </w:pPr>
            <w:r w:rsidRPr="00043369">
              <w:rPr>
                <w:color w:val="000000" w:themeColor="text1"/>
              </w:rPr>
              <w:t>Instalación</w:t>
            </w:r>
          </w:p>
        </w:tc>
        <w:tc>
          <w:tcPr>
            <w:tcW w:w="2996" w:type="dxa"/>
          </w:tcPr>
          <w:p w14:paraId="023F2717" w14:textId="77777777" w:rsidR="007B010B" w:rsidRPr="00043369" w:rsidRDefault="007B010B" w:rsidP="00072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043369">
              <w:rPr>
                <w:color w:val="000000" w:themeColor="text1"/>
              </w:rPr>
              <w:t>/5</w:t>
            </w:r>
          </w:p>
        </w:tc>
      </w:tr>
      <w:tr w:rsidR="007B010B" w14:paraId="023F271B" w14:textId="77777777" w:rsidTr="00DE1C53">
        <w:tc>
          <w:tcPr>
            <w:tcW w:w="3458" w:type="dxa"/>
          </w:tcPr>
          <w:p w14:paraId="023F2719" w14:textId="77777777" w:rsidR="007B010B" w:rsidRPr="00043369" w:rsidRDefault="007B010B" w:rsidP="00F07E14">
            <w:pPr>
              <w:rPr>
                <w:color w:val="000000" w:themeColor="text1"/>
              </w:rPr>
            </w:pPr>
            <w:r w:rsidRPr="00043369">
              <w:rPr>
                <w:color w:val="000000" w:themeColor="text1"/>
              </w:rPr>
              <w:t>Uso</w:t>
            </w:r>
          </w:p>
        </w:tc>
        <w:tc>
          <w:tcPr>
            <w:tcW w:w="2996" w:type="dxa"/>
          </w:tcPr>
          <w:p w14:paraId="023F271A" w14:textId="77777777" w:rsidR="007B010B" w:rsidRPr="00043369" w:rsidRDefault="007B010B" w:rsidP="00072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043369">
              <w:rPr>
                <w:color w:val="000000" w:themeColor="text1"/>
              </w:rPr>
              <w:t>/5</w:t>
            </w:r>
          </w:p>
        </w:tc>
      </w:tr>
      <w:tr w:rsidR="007B010B" w14:paraId="023F271E" w14:textId="77777777" w:rsidTr="00DE1C53">
        <w:tc>
          <w:tcPr>
            <w:tcW w:w="3458" w:type="dxa"/>
          </w:tcPr>
          <w:p w14:paraId="023F271C" w14:textId="77777777" w:rsidR="007B010B" w:rsidRPr="00043369" w:rsidRDefault="007B010B" w:rsidP="00F07E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Configuración</w:t>
            </w:r>
          </w:p>
        </w:tc>
        <w:tc>
          <w:tcPr>
            <w:tcW w:w="2996" w:type="dxa"/>
          </w:tcPr>
          <w:p w14:paraId="023F271D" w14:textId="77777777" w:rsidR="007B010B" w:rsidRPr="00043369" w:rsidRDefault="007B010B" w:rsidP="00072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043369">
              <w:rPr>
                <w:color w:val="000000" w:themeColor="text1"/>
              </w:rPr>
              <w:t>/5</w:t>
            </w:r>
          </w:p>
        </w:tc>
      </w:tr>
      <w:tr w:rsidR="007B010B" w14:paraId="023F2721" w14:textId="77777777" w:rsidTr="00DE1C53">
        <w:tc>
          <w:tcPr>
            <w:tcW w:w="3458" w:type="dxa"/>
          </w:tcPr>
          <w:p w14:paraId="023F271F" w14:textId="77777777" w:rsidR="007B010B" w:rsidRPr="00043369" w:rsidRDefault="007B010B" w:rsidP="00F07E14">
            <w:pPr>
              <w:rPr>
                <w:color w:val="000000" w:themeColor="text1"/>
              </w:rPr>
            </w:pPr>
            <w:r w:rsidRPr="00043369">
              <w:rPr>
                <w:color w:val="000000" w:themeColor="text1"/>
              </w:rPr>
              <w:t>Estabilidad</w:t>
            </w:r>
          </w:p>
        </w:tc>
        <w:tc>
          <w:tcPr>
            <w:tcW w:w="2996" w:type="dxa"/>
          </w:tcPr>
          <w:p w14:paraId="023F2720" w14:textId="77777777" w:rsidR="007B010B" w:rsidRPr="00043369" w:rsidRDefault="007B010B" w:rsidP="00072A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Pr="00043369">
              <w:rPr>
                <w:color w:val="000000" w:themeColor="text1"/>
              </w:rPr>
              <w:t>/5</w:t>
            </w:r>
          </w:p>
        </w:tc>
      </w:tr>
      <w:tr w:rsidR="007B010B" w14:paraId="023F2724" w14:textId="77777777" w:rsidTr="00DE1C53">
        <w:tc>
          <w:tcPr>
            <w:tcW w:w="3458" w:type="dxa"/>
            <w:shd w:val="clear" w:color="auto" w:fill="D9D9D9" w:themeFill="background1" w:themeFillShade="D9"/>
          </w:tcPr>
          <w:p w14:paraId="023F2722" w14:textId="77777777" w:rsidR="007B010B" w:rsidRPr="00043369" w:rsidRDefault="007B010B" w:rsidP="00F07E14">
            <w:pPr>
              <w:rPr>
                <w:b/>
                <w:color w:val="000000" w:themeColor="text1"/>
              </w:rPr>
            </w:pPr>
            <w:r w:rsidRPr="00043369">
              <w:rPr>
                <w:b/>
                <w:color w:val="000000" w:themeColor="text1"/>
              </w:rPr>
              <w:t>Puntaje general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023F2723" w14:textId="77777777" w:rsidR="007B010B" w:rsidRPr="00043369" w:rsidRDefault="007B010B" w:rsidP="00072AA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96% (24/</w:t>
            </w:r>
            <w:r w:rsidRPr="00043369">
              <w:rPr>
                <w:b/>
                <w:color w:val="000000" w:themeColor="text1"/>
              </w:rPr>
              <w:t>25)</w:t>
            </w:r>
          </w:p>
        </w:tc>
      </w:tr>
    </w:tbl>
    <w:p w14:paraId="023F2725" w14:textId="77777777" w:rsidR="008B4CE8" w:rsidRPr="00B642A3" w:rsidRDefault="008B4CE8" w:rsidP="00626350">
      <w:pPr>
        <w:rPr>
          <w:b/>
          <w:color w:val="FF0000"/>
        </w:rPr>
      </w:pPr>
      <w:r w:rsidRPr="00B642A3">
        <w:rPr>
          <w:b/>
          <w:color w:val="FF0000"/>
        </w:rPr>
        <w:tab/>
      </w:r>
      <w:r w:rsidRPr="00B642A3">
        <w:rPr>
          <w:b/>
          <w:color w:val="FF0000"/>
        </w:rPr>
        <w:tab/>
      </w:r>
    </w:p>
    <w:p w14:paraId="023F2726" w14:textId="77777777" w:rsidR="00B20B95" w:rsidRPr="009C067F" w:rsidRDefault="00952726" w:rsidP="00396F93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C067F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Ventajas</w:t>
      </w:r>
    </w:p>
    <w:p w14:paraId="023F2727" w14:textId="77777777" w:rsidR="00B8283E" w:rsidRPr="009C067F" w:rsidRDefault="00B8283E" w:rsidP="00B8283E">
      <w:pPr>
        <w:ind w:left="720"/>
      </w:pPr>
      <w:r w:rsidRPr="009C067F">
        <w:t xml:space="preserve"> </w:t>
      </w:r>
    </w:p>
    <w:p w14:paraId="023F2728" w14:textId="77777777" w:rsidR="00BE6CFD" w:rsidRDefault="00F27483" w:rsidP="00BE6CFD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Equipos l</w:t>
      </w:r>
      <w:r w:rsidR="00BE6CFD">
        <w:rPr>
          <w:lang w:val="es-ES"/>
        </w:rPr>
        <w:t>ivianos</w:t>
      </w:r>
      <w:r>
        <w:rPr>
          <w:lang w:val="es-ES"/>
        </w:rPr>
        <w:t xml:space="preserve"> y portátiles</w:t>
      </w:r>
      <w:r w:rsidR="00BE6CFD">
        <w:rPr>
          <w:lang w:val="es-ES"/>
        </w:rPr>
        <w:t>.</w:t>
      </w:r>
    </w:p>
    <w:p w14:paraId="023F2729" w14:textId="77777777" w:rsidR="00BE6CFD" w:rsidRDefault="00BE6CFD" w:rsidP="00BE6CFD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Compatibles con las plataformas</w:t>
      </w:r>
      <w:r w:rsidR="00F27483">
        <w:rPr>
          <w:lang w:val="es-ES"/>
        </w:rPr>
        <w:t xml:space="preserve"> más utilizadas</w:t>
      </w:r>
      <w:r>
        <w:rPr>
          <w:lang w:val="es-ES"/>
        </w:rPr>
        <w:t>: iOS, Android, Windows y Mac.</w:t>
      </w:r>
    </w:p>
    <w:p w14:paraId="023F272A" w14:textId="77777777" w:rsidR="00BE6CFD" w:rsidRDefault="00BE6CFD" w:rsidP="00BE6CFD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Celdas braille de </w:t>
      </w:r>
      <w:r w:rsidR="00F27483">
        <w:rPr>
          <w:lang w:val="es-ES"/>
        </w:rPr>
        <w:t xml:space="preserve">altura y grosor apropiado que facilitan </w:t>
      </w:r>
      <w:r>
        <w:rPr>
          <w:lang w:val="es-ES"/>
        </w:rPr>
        <w:t>la lectura.</w:t>
      </w:r>
    </w:p>
    <w:p w14:paraId="023F272B" w14:textId="77777777" w:rsidR="00BE6CFD" w:rsidRDefault="00BE6CFD" w:rsidP="00BE6CFD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Teclado braille ergonómico que permite la escritura durante tiempos prolongados.</w:t>
      </w:r>
    </w:p>
    <w:p w14:paraId="023F272C" w14:textId="77777777" w:rsidR="00BE6CFD" w:rsidRDefault="00BE6CFD" w:rsidP="00BE6CFD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Controles intuitivos que permiten navegar por las distintas plataformas</w:t>
      </w:r>
      <w:r w:rsidR="00F27483">
        <w:rPr>
          <w:lang w:val="es-ES"/>
        </w:rPr>
        <w:t>.</w:t>
      </w:r>
    </w:p>
    <w:p w14:paraId="023F272D" w14:textId="77777777" w:rsidR="00BE6CFD" w:rsidRDefault="00F27483" w:rsidP="00BE6CFD">
      <w:pPr>
        <w:numPr>
          <w:ilvl w:val="0"/>
          <w:numId w:val="4"/>
        </w:numPr>
        <w:rPr>
          <w:lang w:val="es-ES"/>
        </w:rPr>
      </w:pPr>
      <w:r>
        <w:rPr>
          <w:lang w:val="es-ES"/>
        </w:rPr>
        <w:t>Batería recargable de larga</w:t>
      </w:r>
      <w:r w:rsidR="00BE6CFD">
        <w:rPr>
          <w:lang w:val="es-ES"/>
        </w:rPr>
        <w:t xml:space="preserve"> duración.</w:t>
      </w:r>
    </w:p>
    <w:p w14:paraId="023F272E" w14:textId="77777777" w:rsidR="008F26C8" w:rsidRPr="00BE6CFD" w:rsidRDefault="008F26C8" w:rsidP="008F26C8">
      <w:pPr>
        <w:rPr>
          <w:b/>
          <w:highlight w:val="darkBlue"/>
          <w:lang w:val="es-ES"/>
        </w:rPr>
      </w:pPr>
    </w:p>
    <w:p w14:paraId="023F272F" w14:textId="77777777" w:rsidR="00500413" w:rsidRPr="005902DD" w:rsidRDefault="00626350" w:rsidP="00396F93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5902DD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Desventajas</w:t>
      </w:r>
    </w:p>
    <w:p w14:paraId="023F2730" w14:textId="77777777" w:rsidR="00952726" w:rsidRPr="005902DD" w:rsidRDefault="00952726" w:rsidP="00952726">
      <w:pPr>
        <w:rPr>
          <w:b/>
        </w:rPr>
      </w:pPr>
    </w:p>
    <w:p w14:paraId="023F2731" w14:textId="77777777" w:rsidR="00BE6CFD" w:rsidRDefault="00F27483" w:rsidP="00BE6CFD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Botones ruidosos. Tiene un pronunciado sonido de </w:t>
      </w:r>
      <w:r w:rsidR="00341548" w:rsidRPr="0023110D">
        <w:rPr>
          <w:i/>
          <w:lang w:val="es-ES"/>
        </w:rPr>
        <w:t>clic</w:t>
      </w:r>
      <w:r>
        <w:rPr>
          <w:lang w:val="es-ES"/>
        </w:rPr>
        <w:t xml:space="preserve"> al </w:t>
      </w:r>
      <w:r w:rsidR="00BE6CFD">
        <w:rPr>
          <w:lang w:val="es-ES"/>
        </w:rPr>
        <w:t>presionar las teclas braille y los controles de navegación</w:t>
      </w:r>
      <w:r w:rsidR="00BE6CFD" w:rsidRPr="00B16E9E">
        <w:rPr>
          <w:lang w:val="es-ES"/>
        </w:rPr>
        <w:t>.</w:t>
      </w:r>
    </w:p>
    <w:p w14:paraId="023F2732" w14:textId="77777777" w:rsidR="00F27483" w:rsidRDefault="00F27483" w:rsidP="00BE6CFD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Su construcción no se siente tan sólida (</w:t>
      </w:r>
      <w:r w:rsidRPr="0023110D">
        <w:rPr>
          <w:i/>
          <w:lang w:val="es-ES"/>
        </w:rPr>
        <w:t>rugged</w:t>
      </w:r>
      <w:r>
        <w:rPr>
          <w:lang w:val="es-ES"/>
        </w:rPr>
        <w:t>) como la de otros equipos comparables.</w:t>
      </w:r>
    </w:p>
    <w:p w14:paraId="023F2733" w14:textId="77777777" w:rsidR="00F27483" w:rsidRDefault="00F27483" w:rsidP="00BE6CFD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No provee retroinformación auditiva de encendido como otros equipos similares.</w:t>
      </w:r>
    </w:p>
    <w:p w14:paraId="023F2734" w14:textId="77777777" w:rsidR="00F27483" w:rsidRDefault="00F27483" w:rsidP="00BE6CFD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El formato del equipo es más ancho que el de otros sistemas con la misma cantidad de celdas braille.</w:t>
      </w:r>
    </w:p>
    <w:p w14:paraId="023F2735" w14:textId="77777777" w:rsidR="0023110D" w:rsidRDefault="0023110D" w:rsidP="00BE6CFD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El proceso de navegación puede resultar confuso para el usuario dado que tiene más botones de control que otros equipos comparables.</w:t>
      </w:r>
    </w:p>
    <w:p w14:paraId="023F2736" w14:textId="77777777" w:rsidR="00041454" w:rsidRPr="00BE6CFD" w:rsidRDefault="00041454" w:rsidP="00041454">
      <w:pPr>
        <w:rPr>
          <w:color w:val="FF0000"/>
          <w:lang w:val="es-ES"/>
        </w:rPr>
      </w:pPr>
    </w:p>
    <w:p w14:paraId="023F2737" w14:textId="77777777" w:rsidR="005902DD" w:rsidRPr="003F6BD1" w:rsidRDefault="00626350" w:rsidP="003F6BD1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2C2C65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lastRenderedPageBreak/>
        <w:t>Sistemas similares disponibles</w:t>
      </w:r>
    </w:p>
    <w:p w14:paraId="023F2738" w14:textId="77777777" w:rsidR="00BE6CFD" w:rsidRPr="000559D3" w:rsidRDefault="00BE6CFD" w:rsidP="00BE6CFD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875"/>
        <w:gridCol w:w="3060"/>
        <w:gridCol w:w="900"/>
        <w:gridCol w:w="2520"/>
      </w:tblGrid>
      <w:tr w:rsidR="00BE6CFD" w:rsidRPr="009F0894" w14:paraId="023F273D" w14:textId="77777777" w:rsidTr="00B21CA4">
        <w:trPr>
          <w:tblHeader/>
        </w:trPr>
        <w:tc>
          <w:tcPr>
            <w:tcW w:w="2875" w:type="dxa"/>
            <w:shd w:val="clear" w:color="auto" w:fill="DDD9C3" w:themeFill="background2" w:themeFillShade="E6"/>
          </w:tcPr>
          <w:p w14:paraId="023F2739" w14:textId="77777777" w:rsidR="00BE6CFD" w:rsidRPr="00F27483" w:rsidRDefault="00BE6CFD" w:rsidP="005D5A47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Equipo</w:t>
            </w:r>
          </w:p>
        </w:tc>
        <w:tc>
          <w:tcPr>
            <w:tcW w:w="3060" w:type="dxa"/>
            <w:shd w:val="clear" w:color="auto" w:fill="DDD9C3" w:themeFill="background2" w:themeFillShade="E6"/>
          </w:tcPr>
          <w:p w14:paraId="023F273A" w14:textId="77777777" w:rsidR="00BE6CFD" w:rsidRPr="009F0894" w:rsidRDefault="00BE6CFD" w:rsidP="005D5A47">
            <w:pPr>
              <w:jc w:val="center"/>
              <w:rPr>
                <w:b/>
                <w:lang w:val="es-ES"/>
              </w:rPr>
            </w:pPr>
            <w:r w:rsidRPr="009F0894">
              <w:rPr>
                <w:b/>
                <w:lang w:val="es-ES"/>
              </w:rPr>
              <w:t>Plataforma</w:t>
            </w:r>
          </w:p>
        </w:tc>
        <w:tc>
          <w:tcPr>
            <w:tcW w:w="900" w:type="dxa"/>
            <w:shd w:val="clear" w:color="auto" w:fill="DDD9C3" w:themeFill="background2" w:themeFillShade="E6"/>
          </w:tcPr>
          <w:p w14:paraId="023F273B" w14:textId="77777777" w:rsidR="00BE6CFD" w:rsidRPr="009F0894" w:rsidRDefault="00BE6CFD" w:rsidP="005D5A47">
            <w:pPr>
              <w:jc w:val="center"/>
              <w:rPr>
                <w:b/>
                <w:lang w:val="es-ES"/>
              </w:rPr>
            </w:pPr>
            <w:r w:rsidRPr="009F0894">
              <w:rPr>
                <w:b/>
                <w:lang w:val="es-ES"/>
              </w:rPr>
              <w:t>Precio</w:t>
            </w:r>
          </w:p>
        </w:tc>
        <w:tc>
          <w:tcPr>
            <w:tcW w:w="2520" w:type="dxa"/>
            <w:shd w:val="clear" w:color="auto" w:fill="DDD9C3" w:themeFill="background2" w:themeFillShade="E6"/>
          </w:tcPr>
          <w:p w14:paraId="023F273C" w14:textId="77777777" w:rsidR="00BE6CFD" w:rsidRPr="009F0894" w:rsidRDefault="00BE6CFD" w:rsidP="005D5A47">
            <w:pPr>
              <w:jc w:val="center"/>
              <w:rPr>
                <w:b/>
                <w:lang w:val="es-ES"/>
              </w:rPr>
            </w:pPr>
            <w:r w:rsidRPr="009F0894">
              <w:rPr>
                <w:b/>
                <w:lang w:val="es-ES"/>
              </w:rPr>
              <w:t>Página web</w:t>
            </w:r>
          </w:p>
        </w:tc>
      </w:tr>
      <w:tr w:rsidR="00BE6CFD" w14:paraId="023F2742" w14:textId="77777777" w:rsidTr="00B21CA4">
        <w:tc>
          <w:tcPr>
            <w:tcW w:w="2875" w:type="dxa"/>
          </w:tcPr>
          <w:p w14:paraId="023F273E" w14:textId="77777777" w:rsidR="00BE6CFD" w:rsidRDefault="00341548" w:rsidP="005D5A4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Brailliant</w:t>
            </w:r>
            <w:proofErr w:type="spellEnd"/>
            <w:r w:rsidR="00BE6CFD">
              <w:rPr>
                <w:lang w:val="es-ES"/>
              </w:rPr>
              <w:t xml:space="preserve"> BI 40</w:t>
            </w:r>
          </w:p>
        </w:tc>
        <w:tc>
          <w:tcPr>
            <w:tcW w:w="3060" w:type="dxa"/>
          </w:tcPr>
          <w:p w14:paraId="023F273F" w14:textId="77777777" w:rsidR="00BE6CFD" w:rsidRPr="003828E6" w:rsidRDefault="00BE6CFD" w:rsidP="005D5A47">
            <w:pPr>
              <w:rPr>
                <w:lang w:val="en-US"/>
              </w:rPr>
            </w:pPr>
            <w:r w:rsidRPr="00F27483">
              <w:t xml:space="preserve">iOS, Android, Windows, </w:t>
            </w:r>
            <w:r w:rsidRPr="003828E6">
              <w:rPr>
                <w:lang w:val="en-US"/>
              </w:rPr>
              <w:t>M</w:t>
            </w:r>
            <w:r>
              <w:rPr>
                <w:lang w:val="en-US"/>
              </w:rPr>
              <w:t>ac</w:t>
            </w:r>
          </w:p>
        </w:tc>
        <w:tc>
          <w:tcPr>
            <w:tcW w:w="900" w:type="dxa"/>
          </w:tcPr>
          <w:p w14:paraId="023F2740" w14:textId="77777777" w:rsidR="00BE6CFD" w:rsidRDefault="00BE6CFD" w:rsidP="005D5A47">
            <w:pPr>
              <w:rPr>
                <w:lang w:val="es-ES"/>
              </w:rPr>
            </w:pPr>
            <w:r>
              <w:rPr>
                <w:lang w:val="es-ES"/>
              </w:rPr>
              <w:t>$2,995</w:t>
            </w:r>
          </w:p>
        </w:tc>
        <w:tc>
          <w:tcPr>
            <w:tcW w:w="2520" w:type="dxa"/>
          </w:tcPr>
          <w:p w14:paraId="023F2741" w14:textId="77777777" w:rsidR="00BE6CFD" w:rsidRDefault="00B21CA4" w:rsidP="005D5A47">
            <w:pPr>
              <w:rPr>
                <w:lang w:val="es-ES"/>
              </w:rPr>
            </w:pPr>
            <w:hyperlink r:id="rId16" w:history="1">
              <w:r w:rsidR="00BE6CFD" w:rsidRPr="001F6352">
                <w:rPr>
                  <w:rStyle w:val="Hyperlink"/>
                  <w:lang w:val="es-ES"/>
                </w:rPr>
                <w:t>http://humanware.com/</w:t>
              </w:r>
            </w:hyperlink>
            <w:r w:rsidR="00BE6CFD">
              <w:rPr>
                <w:lang w:val="es-ES"/>
              </w:rPr>
              <w:t xml:space="preserve"> </w:t>
            </w:r>
          </w:p>
        </w:tc>
      </w:tr>
      <w:tr w:rsidR="00BE6CFD" w14:paraId="023F2747" w14:textId="77777777" w:rsidTr="00B21CA4">
        <w:tc>
          <w:tcPr>
            <w:tcW w:w="2875" w:type="dxa"/>
          </w:tcPr>
          <w:p w14:paraId="023F2743" w14:textId="77777777" w:rsidR="00BE6CFD" w:rsidRDefault="00BE6CFD" w:rsidP="005D5A47">
            <w:pPr>
              <w:rPr>
                <w:lang w:val="es-ES"/>
              </w:rPr>
            </w:pPr>
            <w:r>
              <w:rPr>
                <w:lang w:val="es-ES"/>
              </w:rPr>
              <w:t>Refreshabraille 18 de APH</w:t>
            </w:r>
          </w:p>
        </w:tc>
        <w:tc>
          <w:tcPr>
            <w:tcW w:w="3060" w:type="dxa"/>
          </w:tcPr>
          <w:p w14:paraId="023F2744" w14:textId="77777777" w:rsidR="00BE6CFD" w:rsidRDefault="00BE6CFD" w:rsidP="005D5A47">
            <w:pPr>
              <w:rPr>
                <w:lang w:val="es-ES"/>
              </w:rPr>
            </w:pPr>
            <w:r>
              <w:rPr>
                <w:lang w:val="es-ES"/>
              </w:rPr>
              <w:t>iOS, Android, Windows, Mac</w:t>
            </w:r>
          </w:p>
        </w:tc>
        <w:tc>
          <w:tcPr>
            <w:tcW w:w="900" w:type="dxa"/>
          </w:tcPr>
          <w:p w14:paraId="023F2745" w14:textId="77777777" w:rsidR="00BE6CFD" w:rsidRDefault="00BE6CFD" w:rsidP="005D5A47">
            <w:pPr>
              <w:rPr>
                <w:lang w:val="es-ES"/>
              </w:rPr>
            </w:pPr>
            <w:r>
              <w:rPr>
                <w:lang w:val="es-ES"/>
              </w:rPr>
              <w:t>$1,695</w:t>
            </w:r>
          </w:p>
        </w:tc>
        <w:tc>
          <w:tcPr>
            <w:tcW w:w="2520" w:type="dxa"/>
          </w:tcPr>
          <w:p w14:paraId="023F2746" w14:textId="77777777" w:rsidR="00BE6CFD" w:rsidRDefault="00B21CA4" w:rsidP="00BE6CFD">
            <w:pPr>
              <w:rPr>
                <w:lang w:val="es-ES"/>
              </w:rPr>
            </w:pPr>
            <w:hyperlink r:id="rId17" w:history="1">
              <w:r w:rsidR="00BE6CFD" w:rsidRPr="00E65B06">
                <w:rPr>
                  <w:rStyle w:val="Hyperlink"/>
                  <w:lang w:val="es-ES"/>
                </w:rPr>
                <w:t>http://shop.aph.org/</w:t>
              </w:r>
            </w:hyperlink>
            <w:r w:rsidR="00BE6CFD">
              <w:rPr>
                <w:lang w:val="es-ES"/>
              </w:rPr>
              <w:t xml:space="preserve"> </w:t>
            </w:r>
          </w:p>
        </w:tc>
      </w:tr>
    </w:tbl>
    <w:p w14:paraId="023F2748" w14:textId="77777777" w:rsidR="00BE6CFD" w:rsidRPr="009C5D7A" w:rsidRDefault="00BE6CFD" w:rsidP="00BE6CFD">
      <w:pPr>
        <w:rPr>
          <w:lang w:val="es-ES"/>
        </w:rPr>
      </w:pPr>
    </w:p>
    <w:p w14:paraId="023F2749" w14:textId="77777777" w:rsidR="00626350" w:rsidRPr="00982356" w:rsidRDefault="00626350" w:rsidP="00982356">
      <w:pPr>
        <w:pStyle w:val="Heading2"/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</w:pPr>
      <w:r w:rsidRPr="00982356">
        <w:rPr>
          <w:rFonts w:ascii="Times New Roman" w:hAnsi="Times New Roman" w:cs="Times New Roman"/>
          <w:b/>
          <w:color w:val="000000" w:themeColor="text1"/>
          <w:sz w:val="28"/>
          <w:szCs w:val="28"/>
          <w:lang w:val="es-ES"/>
        </w:rPr>
        <w:t>Definiciones</w:t>
      </w:r>
    </w:p>
    <w:p w14:paraId="023F274A" w14:textId="77777777" w:rsidR="00626350" w:rsidRDefault="00626350" w:rsidP="006263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7096"/>
      </w:tblGrid>
      <w:tr w:rsidR="00626350" w14:paraId="023F274D" w14:textId="77777777" w:rsidTr="00D56AAF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F274B" w14:textId="77777777" w:rsidR="00626350" w:rsidRPr="009A2674" w:rsidRDefault="00626350" w:rsidP="00F07E14">
            <w:pPr>
              <w:rPr>
                <w:b/>
              </w:rPr>
            </w:pPr>
            <w:r w:rsidRPr="009A2674">
              <w:rPr>
                <w:b/>
              </w:rPr>
              <w:t>Funcionalidad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74C" w14:textId="77777777" w:rsidR="00626350" w:rsidRPr="001E6CE0" w:rsidRDefault="00626350" w:rsidP="00F07E14">
            <w:r>
              <w:rPr>
                <w:i/>
                <w:lang w:val="es-ES"/>
              </w:rPr>
              <w:t>Grado al cual el equipo o aplicación desempeña adecuada y consistentemente el trabajo para el cual fue creado.</w:t>
            </w:r>
          </w:p>
        </w:tc>
      </w:tr>
      <w:tr w:rsidR="00626350" w14:paraId="023F2750" w14:textId="77777777" w:rsidTr="00F07E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F274E" w14:textId="77777777" w:rsidR="00626350" w:rsidRPr="009A2674" w:rsidRDefault="00626350" w:rsidP="00F07E14">
            <w:pPr>
              <w:rPr>
                <w:b/>
              </w:rPr>
            </w:pPr>
            <w:r w:rsidRPr="009A2674">
              <w:rPr>
                <w:b/>
              </w:rPr>
              <w:t>Instalación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74F" w14:textId="77777777" w:rsidR="00626350" w:rsidRPr="001E6CE0" w:rsidRDefault="00626350" w:rsidP="00F07E14">
            <w:r>
              <w:rPr>
                <w:i/>
                <w:lang w:val="es-ES"/>
              </w:rPr>
              <w:t>Cantidad y complejidad de los pasos necesarios en el proceso de instalación.</w:t>
            </w:r>
          </w:p>
        </w:tc>
      </w:tr>
      <w:tr w:rsidR="00626350" w14:paraId="023F2753" w14:textId="77777777" w:rsidTr="00F07E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F2751" w14:textId="77777777" w:rsidR="00626350" w:rsidRPr="009A2674" w:rsidRDefault="00626350" w:rsidP="00F07E14">
            <w:pPr>
              <w:rPr>
                <w:b/>
              </w:rPr>
            </w:pPr>
            <w:r w:rsidRPr="009A2674">
              <w:rPr>
                <w:b/>
              </w:rPr>
              <w:t>Uso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752" w14:textId="77777777" w:rsidR="00626350" w:rsidRPr="001E6CE0" w:rsidRDefault="00626350" w:rsidP="00F07E14">
            <w:r>
              <w:rPr>
                <w:i/>
                <w:lang w:val="es-ES"/>
              </w:rPr>
              <w:t>Grado al cual el uso del equipo o aplicación es transparente, intuitivo y amigable al usuario.</w:t>
            </w:r>
          </w:p>
        </w:tc>
      </w:tr>
      <w:tr w:rsidR="00626350" w14:paraId="023F2756" w14:textId="77777777" w:rsidTr="00F07E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F2754" w14:textId="77777777" w:rsidR="00626350" w:rsidRPr="009A2674" w:rsidRDefault="00626350" w:rsidP="00072AAE">
            <w:pPr>
              <w:rPr>
                <w:b/>
              </w:rPr>
            </w:pPr>
            <w:r w:rsidRPr="009A2674">
              <w:rPr>
                <w:b/>
              </w:rPr>
              <w:t>Configura</w:t>
            </w:r>
            <w:r w:rsidR="00072AAE">
              <w:rPr>
                <w:b/>
              </w:rPr>
              <w:t>ción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755" w14:textId="77777777" w:rsidR="00626350" w:rsidRPr="001E6CE0" w:rsidRDefault="00626350" w:rsidP="00F07E14">
            <w:r>
              <w:rPr>
                <w:i/>
                <w:lang w:val="es-ES"/>
              </w:rPr>
              <w:t>Cantidad y calidad de las opciones disponibles para ajustar los parámetros del equipo o aplicación a las necesidades y preferencias particulares del usuario.</w:t>
            </w:r>
          </w:p>
        </w:tc>
      </w:tr>
      <w:tr w:rsidR="00626350" w14:paraId="023F2759" w14:textId="77777777" w:rsidTr="00F07E1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F2757" w14:textId="77777777" w:rsidR="00626350" w:rsidRPr="009A2674" w:rsidRDefault="00626350" w:rsidP="00F07E14">
            <w:pPr>
              <w:rPr>
                <w:b/>
              </w:rPr>
            </w:pPr>
            <w:r w:rsidRPr="009A2674">
              <w:rPr>
                <w:b/>
              </w:rPr>
              <w:t>Estabilidad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758" w14:textId="77777777" w:rsidR="00626350" w:rsidRPr="001E6CE0" w:rsidRDefault="00626350" w:rsidP="00F07E14">
            <w:r>
              <w:rPr>
                <w:i/>
                <w:lang w:val="es-ES"/>
              </w:rPr>
              <w:t>Resistencia del equipo o aplicación a problemas que resulten en un funcionamiento lento, errático o que congelen el mismo.</w:t>
            </w:r>
          </w:p>
        </w:tc>
      </w:tr>
    </w:tbl>
    <w:p w14:paraId="023F275A" w14:textId="77777777" w:rsidR="00626350" w:rsidRDefault="00626350" w:rsidP="00626350"/>
    <w:p w14:paraId="023F275B" w14:textId="77777777" w:rsidR="00626350" w:rsidRPr="00543EB0" w:rsidRDefault="00626350" w:rsidP="00626350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543EB0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Escala de Evaluación</w:t>
      </w:r>
    </w:p>
    <w:p w14:paraId="023F275C" w14:textId="77777777" w:rsidR="00626350" w:rsidRDefault="00626350" w:rsidP="00626350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51"/>
        <w:gridCol w:w="6704"/>
      </w:tblGrid>
      <w:tr w:rsidR="007B010B" w14:paraId="023F275F" w14:textId="77777777" w:rsidTr="00B21CA4">
        <w:trPr>
          <w:tblHeader/>
        </w:trPr>
        <w:tc>
          <w:tcPr>
            <w:tcW w:w="2651" w:type="dxa"/>
            <w:shd w:val="clear" w:color="auto" w:fill="D9D9D9" w:themeFill="background1" w:themeFillShade="D9"/>
          </w:tcPr>
          <w:p w14:paraId="023F275D" w14:textId="77777777" w:rsidR="007B010B" w:rsidRPr="00FC5204" w:rsidRDefault="007B010B" w:rsidP="00F07E14">
            <w:pPr>
              <w:rPr>
                <w:b/>
              </w:rPr>
            </w:pPr>
            <w:r w:rsidRPr="00FC5204">
              <w:rPr>
                <w:b/>
              </w:rPr>
              <w:t>Excelente (5/5)</w:t>
            </w:r>
          </w:p>
        </w:tc>
        <w:tc>
          <w:tcPr>
            <w:tcW w:w="6704" w:type="dxa"/>
          </w:tcPr>
          <w:p w14:paraId="023F275E" w14:textId="77777777" w:rsidR="007B010B" w:rsidRDefault="007B010B" w:rsidP="00F07E14">
            <w:r>
              <w:rPr>
                <w:i/>
                <w:lang w:val="es-ES"/>
              </w:rPr>
              <w:t>Sobrepasa expectativas</w:t>
            </w:r>
          </w:p>
        </w:tc>
      </w:tr>
      <w:tr w:rsidR="007B010B" w14:paraId="023F2762" w14:textId="77777777" w:rsidTr="00B21CA4">
        <w:tc>
          <w:tcPr>
            <w:tcW w:w="2651" w:type="dxa"/>
            <w:shd w:val="clear" w:color="auto" w:fill="D9D9D9" w:themeFill="background1" w:themeFillShade="D9"/>
          </w:tcPr>
          <w:p w14:paraId="023F2760" w14:textId="77777777" w:rsidR="007B010B" w:rsidRPr="00FC5204" w:rsidRDefault="007B010B" w:rsidP="00F07E14">
            <w:pPr>
              <w:rPr>
                <w:b/>
              </w:rPr>
            </w:pPr>
            <w:r w:rsidRPr="00FC5204">
              <w:rPr>
                <w:b/>
              </w:rPr>
              <w:t>Bueno (4/5)</w:t>
            </w:r>
          </w:p>
        </w:tc>
        <w:tc>
          <w:tcPr>
            <w:tcW w:w="6704" w:type="dxa"/>
          </w:tcPr>
          <w:p w14:paraId="023F2761" w14:textId="77777777" w:rsidR="007B010B" w:rsidRDefault="007B010B" w:rsidP="00F07E14">
            <w:r>
              <w:rPr>
                <w:i/>
                <w:lang w:val="es-ES"/>
              </w:rPr>
              <w:t>Cumple satisfactoriamente con las expectativas</w:t>
            </w:r>
          </w:p>
        </w:tc>
      </w:tr>
      <w:tr w:rsidR="007B010B" w14:paraId="023F2765" w14:textId="77777777" w:rsidTr="00B21CA4">
        <w:tc>
          <w:tcPr>
            <w:tcW w:w="2651" w:type="dxa"/>
            <w:shd w:val="clear" w:color="auto" w:fill="D9D9D9" w:themeFill="background1" w:themeFillShade="D9"/>
          </w:tcPr>
          <w:p w14:paraId="023F2763" w14:textId="77777777" w:rsidR="007B010B" w:rsidRPr="00FC5204" w:rsidRDefault="007B010B" w:rsidP="00F07E14">
            <w:pPr>
              <w:rPr>
                <w:b/>
              </w:rPr>
            </w:pPr>
            <w:r w:rsidRPr="00FC5204">
              <w:rPr>
                <w:b/>
              </w:rPr>
              <w:t>Mediano (3/5)</w:t>
            </w:r>
          </w:p>
        </w:tc>
        <w:tc>
          <w:tcPr>
            <w:tcW w:w="6704" w:type="dxa"/>
          </w:tcPr>
          <w:p w14:paraId="023F2764" w14:textId="77777777" w:rsidR="007B010B" w:rsidRDefault="007B010B" w:rsidP="00F07E14">
            <w:r>
              <w:rPr>
                <w:i/>
                <w:lang w:val="es-ES"/>
              </w:rPr>
              <w:t>Cumple con las expectativas básicas</w:t>
            </w:r>
          </w:p>
        </w:tc>
      </w:tr>
      <w:tr w:rsidR="007B010B" w14:paraId="023F2768" w14:textId="77777777" w:rsidTr="00B21CA4">
        <w:tc>
          <w:tcPr>
            <w:tcW w:w="2651" w:type="dxa"/>
            <w:shd w:val="clear" w:color="auto" w:fill="D9D9D9" w:themeFill="background1" w:themeFillShade="D9"/>
          </w:tcPr>
          <w:p w14:paraId="023F2766" w14:textId="77777777" w:rsidR="007B010B" w:rsidRPr="00FC5204" w:rsidRDefault="007B010B" w:rsidP="00F07E14">
            <w:pPr>
              <w:rPr>
                <w:b/>
              </w:rPr>
            </w:pPr>
            <w:r w:rsidRPr="00FC5204">
              <w:rPr>
                <w:b/>
              </w:rPr>
              <w:t>Pobre (2/5)</w:t>
            </w:r>
          </w:p>
        </w:tc>
        <w:tc>
          <w:tcPr>
            <w:tcW w:w="6704" w:type="dxa"/>
          </w:tcPr>
          <w:p w14:paraId="023F2767" w14:textId="77777777" w:rsidR="007B010B" w:rsidRDefault="007B010B" w:rsidP="00F07E14">
            <w:r>
              <w:rPr>
                <w:i/>
                <w:lang w:val="es-ES"/>
              </w:rPr>
              <w:t>Se desempeña por debajo de las expectativas</w:t>
            </w:r>
          </w:p>
        </w:tc>
      </w:tr>
      <w:tr w:rsidR="007B010B" w14:paraId="023F276B" w14:textId="77777777" w:rsidTr="00B21CA4">
        <w:tc>
          <w:tcPr>
            <w:tcW w:w="2651" w:type="dxa"/>
            <w:shd w:val="clear" w:color="auto" w:fill="D9D9D9" w:themeFill="background1" w:themeFillShade="D9"/>
          </w:tcPr>
          <w:p w14:paraId="023F2769" w14:textId="77777777" w:rsidR="007B010B" w:rsidRPr="00FC5204" w:rsidRDefault="007B010B" w:rsidP="00F07E14">
            <w:pPr>
              <w:rPr>
                <w:b/>
              </w:rPr>
            </w:pPr>
            <w:r w:rsidRPr="00FC5204">
              <w:rPr>
                <w:b/>
              </w:rPr>
              <w:t>Malo (1/5)</w:t>
            </w:r>
          </w:p>
        </w:tc>
        <w:tc>
          <w:tcPr>
            <w:tcW w:w="6704" w:type="dxa"/>
          </w:tcPr>
          <w:p w14:paraId="023F276A" w14:textId="77777777" w:rsidR="007B010B" w:rsidRDefault="007B010B" w:rsidP="00F07E14">
            <w:r>
              <w:rPr>
                <w:i/>
                <w:lang w:val="es-ES"/>
              </w:rPr>
              <w:t>No cumple las expectativas</w:t>
            </w:r>
          </w:p>
        </w:tc>
      </w:tr>
    </w:tbl>
    <w:p w14:paraId="023F276C" w14:textId="77777777" w:rsidR="00165160" w:rsidRPr="00F07E14" w:rsidRDefault="00165160" w:rsidP="00165160">
      <w:pPr>
        <w:rPr>
          <w:lang w:val="en-US"/>
        </w:rPr>
      </w:pPr>
    </w:p>
    <w:sectPr w:rsidR="00165160" w:rsidRPr="00F07E14" w:rsidSect="009C5F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2777" w14:textId="77777777" w:rsidR="004247C7" w:rsidRDefault="004247C7">
      <w:r>
        <w:separator/>
      </w:r>
    </w:p>
  </w:endnote>
  <w:endnote w:type="continuationSeparator" w:id="0">
    <w:p w14:paraId="023F2778" w14:textId="77777777" w:rsidR="004247C7" w:rsidRDefault="0042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77B" w14:textId="77777777" w:rsidR="00A2788E" w:rsidRDefault="00A2788E" w:rsidP="00A710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3F277C" w14:textId="77777777" w:rsidR="00A2788E" w:rsidRDefault="00A2788E" w:rsidP="00A710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77D" w14:textId="77777777" w:rsidR="00A2788E" w:rsidRPr="0085105C" w:rsidRDefault="00A2788E" w:rsidP="00A71097">
    <w:pPr>
      <w:pStyle w:val="Footer"/>
      <w:framePr w:wrap="around" w:vAnchor="text" w:hAnchor="margin" w:xAlign="right" w:y="1"/>
      <w:rPr>
        <w:rStyle w:val="PageNumber"/>
        <w:i/>
        <w:sz w:val="20"/>
        <w:szCs w:val="20"/>
      </w:rPr>
    </w:pPr>
    <w:r w:rsidRPr="0085105C">
      <w:rPr>
        <w:rStyle w:val="PageNumber"/>
        <w:i/>
        <w:sz w:val="20"/>
        <w:szCs w:val="20"/>
      </w:rPr>
      <w:t xml:space="preserve">PRATP © Pág. </w:t>
    </w:r>
    <w:r w:rsidRPr="0085105C">
      <w:rPr>
        <w:rStyle w:val="PageNumber"/>
        <w:i/>
        <w:sz w:val="20"/>
        <w:szCs w:val="20"/>
      </w:rPr>
      <w:fldChar w:fldCharType="begin"/>
    </w:r>
    <w:r w:rsidRPr="0085105C">
      <w:rPr>
        <w:rStyle w:val="PageNumber"/>
        <w:i/>
        <w:sz w:val="20"/>
        <w:szCs w:val="20"/>
      </w:rPr>
      <w:instrText xml:space="preserve">PAGE  </w:instrText>
    </w:r>
    <w:r w:rsidRPr="0085105C">
      <w:rPr>
        <w:rStyle w:val="PageNumber"/>
        <w:i/>
        <w:sz w:val="20"/>
        <w:szCs w:val="20"/>
      </w:rPr>
      <w:fldChar w:fldCharType="separate"/>
    </w:r>
    <w:r w:rsidR="00017E9C">
      <w:rPr>
        <w:rStyle w:val="PageNumber"/>
        <w:i/>
        <w:noProof/>
        <w:sz w:val="20"/>
        <w:szCs w:val="20"/>
      </w:rPr>
      <w:t>2</w:t>
    </w:r>
    <w:r w:rsidRPr="0085105C">
      <w:rPr>
        <w:rStyle w:val="PageNumber"/>
        <w:i/>
        <w:sz w:val="20"/>
        <w:szCs w:val="20"/>
      </w:rPr>
      <w:fldChar w:fldCharType="end"/>
    </w:r>
  </w:p>
  <w:p w14:paraId="023F277E" w14:textId="77777777" w:rsidR="00A2788E" w:rsidRDefault="00A2788E" w:rsidP="00A7109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780" w14:textId="77777777" w:rsidR="00F66A7C" w:rsidRDefault="00F66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2775" w14:textId="77777777" w:rsidR="004247C7" w:rsidRDefault="004247C7">
      <w:r>
        <w:separator/>
      </w:r>
    </w:p>
  </w:footnote>
  <w:footnote w:type="continuationSeparator" w:id="0">
    <w:p w14:paraId="023F2776" w14:textId="77777777" w:rsidR="004247C7" w:rsidRDefault="004247C7">
      <w:r>
        <w:continuationSeparator/>
      </w:r>
    </w:p>
  </w:footnote>
  <w:footnote w:id="1">
    <w:p w14:paraId="023F2783" w14:textId="77777777" w:rsidR="00D5198C" w:rsidRPr="005E274F" w:rsidRDefault="00D5198C" w:rsidP="00D5198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E274F">
        <w:rPr>
          <w:lang w:val="en-US"/>
        </w:rPr>
        <w:t xml:space="preserve"> </w:t>
      </w:r>
      <w:r w:rsidRPr="005E274F">
        <w:rPr>
          <w:i/>
          <w:lang w:val="en-US"/>
        </w:rPr>
        <w:t xml:space="preserve">Peer reviewed: </w:t>
      </w:r>
      <w:r w:rsidR="005E274F" w:rsidRPr="005E274F">
        <w:rPr>
          <w:i/>
          <w:lang w:val="en-US"/>
        </w:rPr>
        <w:t>Mauricio A. Lizama, Ph.D., ATP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779" w14:textId="77777777" w:rsidR="00F66A7C" w:rsidRDefault="00F66A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77A" w14:textId="77777777" w:rsidR="00F66A7C" w:rsidRDefault="00F66A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277F" w14:textId="77777777" w:rsidR="00A2788E" w:rsidRPr="009C5F46" w:rsidRDefault="00F66A7C" w:rsidP="00F66A7C">
    <w:pPr>
      <w:jc w:val="right"/>
      <w:rPr>
        <w:lang w:val="es-ES"/>
      </w:rPr>
    </w:pPr>
    <w:r>
      <w:rPr>
        <w:noProof/>
        <w:lang w:eastAsia="es-PR"/>
      </w:rPr>
      <w:drawing>
        <wp:inline distT="0" distB="0" distL="0" distR="0" wp14:anchorId="023F2781" wp14:editId="023F2782">
          <wp:extent cx="1987550" cy="774065"/>
          <wp:effectExtent l="0" t="0" r="0" b="6985"/>
          <wp:docPr id="1" name="Imagen 9" descr="Logo del Programa de Asistencia Tecnológica de Puerto 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2788E" w:rsidRPr="00083E13">
      <w:rPr>
        <w:rFonts w:ascii="Arial Black" w:hAnsi="Arial Black"/>
        <w:b/>
        <w:sz w:val="44"/>
        <w:szCs w:val="44"/>
      </w:rPr>
      <w:t xml:space="preserve"> </w:t>
    </w:r>
    <w:r w:rsidR="00A2788E">
      <w:rPr>
        <w:rFonts w:ascii="Arial Black" w:hAnsi="Arial Black"/>
        <w:b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3A8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43846"/>
    <w:multiLevelType w:val="hybridMultilevel"/>
    <w:tmpl w:val="26225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7487"/>
    <w:multiLevelType w:val="hybridMultilevel"/>
    <w:tmpl w:val="4130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76AB"/>
    <w:multiLevelType w:val="hybridMultilevel"/>
    <w:tmpl w:val="3B267668"/>
    <w:lvl w:ilvl="0" w:tplc="F5EAA35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5B49BB"/>
    <w:multiLevelType w:val="hybridMultilevel"/>
    <w:tmpl w:val="B798B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12D8A"/>
    <w:multiLevelType w:val="hybridMultilevel"/>
    <w:tmpl w:val="636C9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56C29"/>
    <w:multiLevelType w:val="hybridMultilevel"/>
    <w:tmpl w:val="823812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01E62"/>
    <w:multiLevelType w:val="hybridMultilevel"/>
    <w:tmpl w:val="7E46E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820FB"/>
    <w:multiLevelType w:val="hybridMultilevel"/>
    <w:tmpl w:val="E12CD63E"/>
    <w:lvl w:ilvl="0" w:tplc="3CA020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25051B3"/>
    <w:multiLevelType w:val="hybridMultilevel"/>
    <w:tmpl w:val="773EEF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BC366B"/>
    <w:multiLevelType w:val="hybridMultilevel"/>
    <w:tmpl w:val="D0562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936880">
    <w:abstractNumId w:val="9"/>
  </w:num>
  <w:num w:numId="2" w16cid:durableId="1544293827">
    <w:abstractNumId w:val="4"/>
  </w:num>
  <w:num w:numId="3" w16cid:durableId="1648509943">
    <w:abstractNumId w:val="7"/>
  </w:num>
  <w:num w:numId="4" w16cid:durableId="485899285">
    <w:abstractNumId w:val="10"/>
  </w:num>
  <w:num w:numId="5" w16cid:durableId="588270128">
    <w:abstractNumId w:val="5"/>
  </w:num>
  <w:num w:numId="6" w16cid:durableId="345328436">
    <w:abstractNumId w:val="6"/>
  </w:num>
  <w:num w:numId="7" w16cid:durableId="30885075">
    <w:abstractNumId w:val="1"/>
  </w:num>
  <w:num w:numId="8" w16cid:durableId="1880898295">
    <w:abstractNumId w:val="8"/>
  </w:num>
  <w:num w:numId="9" w16cid:durableId="964853724">
    <w:abstractNumId w:val="3"/>
  </w:num>
  <w:num w:numId="10" w16cid:durableId="215703447">
    <w:abstractNumId w:val="2"/>
  </w:num>
  <w:num w:numId="11" w16cid:durableId="107454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E7"/>
    <w:rsid w:val="000076D4"/>
    <w:rsid w:val="00017E9C"/>
    <w:rsid w:val="00030EE4"/>
    <w:rsid w:val="00041454"/>
    <w:rsid w:val="00043369"/>
    <w:rsid w:val="00050546"/>
    <w:rsid w:val="00072AAE"/>
    <w:rsid w:val="00086ED7"/>
    <w:rsid w:val="000C5505"/>
    <w:rsid w:val="000D528C"/>
    <w:rsid w:val="000E61D6"/>
    <w:rsid w:val="000E6E07"/>
    <w:rsid w:val="00101C01"/>
    <w:rsid w:val="001037A7"/>
    <w:rsid w:val="00122BDA"/>
    <w:rsid w:val="001324B1"/>
    <w:rsid w:val="0013415D"/>
    <w:rsid w:val="001362E2"/>
    <w:rsid w:val="001548F0"/>
    <w:rsid w:val="00165160"/>
    <w:rsid w:val="0017692A"/>
    <w:rsid w:val="001802E3"/>
    <w:rsid w:val="0018310E"/>
    <w:rsid w:val="001843B2"/>
    <w:rsid w:val="001A1876"/>
    <w:rsid w:val="001B0F82"/>
    <w:rsid w:val="001B68D9"/>
    <w:rsid w:val="001C2C62"/>
    <w:rsid w:val="001E35C2"/>
    <w:rsid w:val="00205306"/>
    <w:rsid w:val="00221C2D"/>
    <w:rsid w:val="0022646A"/>
    <w:rsid w:val="0023110D"/>
    <w:rsid w:val="0023598F"/>
    <w:rsid w:val="0024269D"/>
    <w:rsid w:val="00270E11"/>
    <w:rsid w:val="0029537E"/>
    <w:rsid w:val="002A0C27"/>
    <w:rsid w:val="002A66CD"/>
    <w:rsid w:val="002B0600"/>
    <w:rsid w:val="002B5870"/>
    <w:rsid w:val="002C248E"/>
    <w:rsid w:val="002C2C65"/>
    <w:rsid w:val="002C6198"/>
    <w:rsid w:val="002F266F"/>
    <w:rsid w:val="00302B48"/>
    <w:rsid w:val="00315E72"/>
    <w:rsid w:val="00322961"/>
    <w:rsid w:val="00341548"/>
    <w:rsid w:val="00344288"/>
    <w:rsid w:val="0034775E"/>
    <w:rsid w:val="0036280B"/>
    <w:rsid w:val="00374CE8"/>
    <w:rsid w:val="003772BF"/>
    <w:rsid w:val="003846F6"/>
    <w:rsid w:val="00396F93"/>
    <w:rsid w:val="003B62E7"/>
    <w:rsid w:val="003C16B6"/>
    <w:rsid w:val="003C2EB4"/>
    <w:rsid w:val="003C36BC"/>
    <w:rsid w:val="003C3920"/>
    <w:rsid w:val="003E6BB4"/>
    <w:rsid w:val="003F4E06"/>
    <w:rsid w:val="003F5460"/>
    <w:rsid w:val="003F6BD1"/>
    <w:rsid w:val="004029C6"/>
    <w:rsid w:val="00406943"/>
    <w:rsid w:val="00422740"/>
    <w:rsid w:val="004247C7"/>
    <w:rsid w:val="00446A95"/>
    <w:rsid w:val="0045408D"/>
    <w:rsid w:val="004620F2"/>
    <w:rsid w:val="004777FA"/>
    <w:rsid w:val="004B1300"/>
    <w:rsid w:val="004B31CA"/>
    <w:rsid w:val="004B5315"/>
    <w:rsid w:val="004D3B0B"/>
    <w:rsid w:val="004D6AE8"/>
    <w:rsid w:val="004F0035"/>
    <w:rsid w:val="004F7330"/>
    <w:rsid w:val="00500413"/>
    <w:rsid w:val="005112ED"/>
    <w:rsid w:val="00511F55"/>
    <w:rsid w:val="0051388E"/>
    <w:rsid w:val="0051609A"/>
    <w:rsid w:val="0052017F"/>
    <w:rsid w:val="00527E0B"/>
    <w:rsid w:val="0053000E"/>
    <w:rsid w:val="00541B6D"/>
    <w:rsid w:val="00563130"/>
    <w:rsid w:val="00564021"/>
    <w:rsid w:val="00575A91"/>
    <w:rsid w:val="005902DD"/>
    <w:rsid w:val="005D1C05"/>
    <w:rsid w:val="005E274F"/>
    <w:rsid w:val="00606144"/>
    <w:rsid w:val="006062F7"/>
    <w:rsid w:val="00614C06"/>
    <w:rsid w:val="00626350"/>
    <w:rsid w:val="00632228"/>
    <w:rsid w:val="00634F37"/>
    <w:rsid w:val="006373DA"/>
    <w:rsid w:val="0064272A"/>
    <w:rsid w:val="00645975"/>
    <w:rsid w:val="006505F3"/>
    <w:rsid w:val="00655E8D"/>
    <w:rsid w:val="006919F9"/>
    <w:rsid w:val="006B36C9"/>
    <w:rsid w:val="006B3755"/>
    <w:rsid w:val="006B60C2"/>
    <w:rsid w:val="006B6FE7"/>
    <w:rsid w:val="006F3750"/>
    <w:rsid w:val="006F5739"/>
    <w:rsid w:val="0070026B"/>
    <w:rsid w:val="00701FE8"/>
    <w:rsid w:val="007444C2"/>
    <w:rsid w:val="00747E0F"/>
    <w:rsid w:val="0075052C"/>
    <w:rsid w:val="00777AED"/>
    <w:rsid w:val="00784409"/>
    <w:rsid w:val="00784E3E"/>
    <w:rsid w:val="007906E5"/>
    <w:rsid w:val="00790972"/>
    <w:rsid w:val="007B010B"/>
    <w:rsid w:val="007B08DE"/>
    <w:rsid w:val="007B2057"/>
    <w:rsid w:val="007D22A3"/>
    <w:rsid w:val="007E64AD"/>
    <w:rsid w:val="007E7290"/>
    <w:rsid w:val="00802773"/>
    <w:rsid w:val="00806F5D"/>
    <w:rsid w:val="00845799"/>
    <w:rsid w:val="0085105C"/>
    <w:rsid w:val="00860122"/>
    <w:rsid w:val="008735BC"/>
    <w:rsid w:val="00891D15"/>
    <w:rsid w:val="008B2BB3"/>
    <w:rsid w:val="008B4CE8"/>
    <w:rsid w:val="008C2A83"/>
    <w:rsid w:val="008D3F9F"/>
    <w:rsid w:val="008E6EB0"/>
    <w:rsid w:val="008F26C8"/>
    <w:rsid w:val="0090755A"/>
    <w:rsid w:val="00915521"/>
    <w:rsid w:val="0093353B"/>
    <w:rsid w:val="00936984"/>
    <w:rsid w:val="0095089A"/>
    <w:rsid w:val="00951A75"/>
    <w:rsid w:val="00952726"/>
    <w:rsid w:val="00957427"/>
    <w:rsid w:val="00982356"/>
    <w:rsid w:val="0099552C"/>
    <w:rsid w:val="009A2674"/>
    <w:rsid w:val="009A2C1F"/>
    <w:rsid w:val="009C067F"/>
    <w:rsid w:val="009C5F46"/>
    <w:rsid w:val="009C6C01"/>
    <w:rsid w:val="009D18B9"/>
    <w:rsid w:val="009E3D13"/>
    <w:rsid w:val="00A03EE1"/>
    <w:rsid w:val="00A078AC"/>
    <w:rsid w:val="00A2788E"/>
    <w:rsid w:val="00A36BBD"/>
    <w:rsid w:val="00A614C3"/>
    <w:rsid w:val="00A6277A"/>
    <w:rsid w:val="00A71097"/>
    <w:rsid w:val="00A75455"/>
    <w:rsid w:val="00A773F1"/>
    <w:rsid w:val="00A962D2"/>
    <w:rsid w:val="00AB019D"/>
    <w:rsid w:val="00AD3EF7"/>
    <w:rsid w:val="00AD6AD7"/>
    <w:rsid w:val="00AD6E9B"/>
    <w:rsid w:val="00AE04F0"/>
    <w:rsid w:val="00B05444"/>
    <w:rsid w:val="00B20B95"/>
    <w:rsid w:val="00B21CA4"/>
    <w:rsid w:val="00B642A3"/>
    <w:rsid w:val="00B8283E"/>
    <w:rsid w:val="00B8382C"/>
    <w:rsid w:val="00B87144"/>
    <w:rsid w:val="00B87B78"/>
    <w:rsid w:val="00B87F71"/>
    <w:rsid w:val="00B87FAB"/>
    <w:rsid w:val="00BB7289"/>
    <w:rsid w:val="00BC7B01"/>
    <w:rsid w:val="00BE6CFD"/>
    <w:rsid w:val="00BF55C0"/>
    <w:rsid w:val="00C13D7D"/>
    <w:rsid w:val="00C20C33"/>
    <w:rsid w:val="00C2612E"/>
    <w:rsid w:val="00C34908"/>
    <w:rsid w:val="00C42CB3"/>
    <w:rsid w:val="00C53A66"/>
    <w:rsid w:val="00C6458B"/>
    <w:rsid w:val="00C6515B"/>
    <w:rsid w:val="00C82933"/>
    <w:rsid w:val="00C878F6"/>
    <w:rsid w:val="00C90F77"/>
    <w:rsid w:val="00CC2531"/>
    <w:rsid w:val="00CC4DDC"/>
    <w:rsid w:val="00CD52D4"/>
    <w:rsid w:val="00CE7232"/>
    <w:rsid w:val="00CF26DA"/>
    <w:rsid w:val="00D0432C"/>
    <w:rsid w:val="00D05444"/>
    <w:rsid w:val="00D256B7"/>
    <w:rsid w:val="00D5198C"/>
    <w:rsid w:val="00D54F9B"/>
    <w:rsid w:val="00D56AAF"/>
    <w:rsid w:val="00D57F39"/>
    <w:rsid w:val="00D70906"/>
    <w:rsid w:val="00D92473"/>
    <w:rsid w:val="00D95865"/>
    <w:rsid w:val="00DA11A7"/>
    <w:rsid w:val="00DA31AE"/>
    <w:rsid w:val="00DB2049"/>
    <w:rsid w:val="00DD17DB"/>
    <w:rsid w:val="00DE1C53"/>
    <w:rsid w:val="00E02736"/>
    <w:rsid w:val="00E05FD9"/>
    <w:rsid w:val="00E16091"/>
    <w:rsid w:val="00E20FDC"/>
    <w:rsid w:val="00E325CD"/>
    <w:rsid w:val="00E40BF5"/>
    <w:rsid w:val="00E417B8"/>
    <w:rsid w:val="00E42CFD"/>
    <w:rsid w:val="00E80179"/>
    <w:rsid w:val="00E82427"/>
    <w:rsid w:val="00EA2442"/>
    <w:rsid w:val="00EB6C1C"/>
    <w:rsid w:val="00EC5F1C"/>
    <w:rsid w:val="00F07E14"/>
    <w:rsid w:val="00F101A8"/>
    <w:rsid w:val="00F1627D"/>
    <w:rsid w:val="00F2340D"/>
    <w:rsid w:val="00F27483"/>
    <w:rsid w:val="00F4500A"/>
    <w:rsid w:val="00F568DB"/>
    <w:rsid w:val="00F65006"/>
    <w:rsid w:val="00F66A7C"/>
    <w:rsid w:val="00F7078A"/>
    <w:rsid w:val="00F84874"/>
    <w:rsid w:val="00FB4BE3"/>
    <w:rsid w:val="00FB4ECB"/>
    <w:rsid w:val="00FB5F57"/>
    <w:rsid w:val="00FC062F"/>
    <w:rsid w:val="00FC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23F26BA"/>
  <w15:docId w15:val="{FF54AB11-E491-4C9B-98EC-B0FEFEA6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15D"/>
    <w:rPr>
      <w:sz w:val="24"/>
      <w:szCs w:val="24"/>
      <w:lang w:val="es-P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78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F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2531"/>
    <w:rPr>
      <w:color w:val="0000FF"/>
      <w:u w:val="single"/>
    </w:rPr>
  </w:style>
  <w:style w:type="character" w:styleId="Strong">
    <w:name w:val="Strong"/>
    <w:basedOn w:val="DefaultParagraphFont"/>
    <w:qFormat/>
    <w:rsid w:val="00CC2531"/>
    <w:rPr>
      <w:b/>
      <w:bCs/>
    </w:rPr>
  </w:style>
  <w:style w:type="paragraph" w:styleId="Footer">
    <w:name w:val="footer"/>
    <w:basedOn w:val="Normal"/>
    <w:rsid w:val="00A710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1097"/>
  </w:style>
  <w:style w:type="paragraph" w:styleId="FootnoteText">
    <w:name w:val="footnote text"/>
    <w:basedOn w:val="Normal"/>
    <w:link w:val="FootnoteTextChar"/>
    <w:semiHidden/>
    <w:rsid w:val="004777F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4777FA"/>
    <w:rPr>
      <w:vertAlign w:val="superscript"/>
    </w:rPr>
  </w:style>
  <w:style w:type="paragraph" w:styleId="Header">
    <w:name w:val="header"/>
    <w:basedOn w:val="Normal"/>
    <w:rsid w:val="008510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4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444"/>
    <w:rPr>
      <w:rFonts w:ascii="Tahoma" w:hAnsi="Tahoma" w:cs="Tahoma"/>
      <w:sz w:val="16"/>
      <w:szCs w:val="16"/>
      <w:lang w:val="es-PR" w:eastAsia="en-US"/>
    </w:rPr>
  </w:style>
  <w:style w:type="paragraph" w:styleId="ListParagraph">
    <w:name w:val="List Paragraph"/>
    <w:basedOn w:val="Normal"/>
    <w:uiPriority w:val="34"/>
    <w:qFormat/>
    <w:rsid w:val="00446A9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96F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PR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07E1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78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5198C"/>
    <w:rPr>
      <w:lang w:val="es-PR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417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PR" w:eastAsia="en-US"/>
    </w:rPr>
  </w:style>
  <w:style w:type="paragraph" w:styleId="ListBullet">
    <w:name w:val="List Bullet"/>
    <w:basedOn w:val="Normal"/>
    <w:uiPriority w:val="99"/>
    <w:unhideWhenUsed/>
    <w:rsid w:val="0023598F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5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8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shop.aph.org/webapp/wcs/stores/servlet/Product_Refreshabraille%2018_35499754P_10001_11051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humanware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eedomscientific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713fcd-dac6-4a89-adf1-cbaa4d4851a6">
      <Terms xmlns="http://schemas.microsoft.com/office/infopath/2007/PartnerControls"/>
    </lcf76f155ced4ddcb4097134ff3c332f>
    <TaxCatchAll xmlns="33774fc5-a698-4af5-9420-69f5552e9b0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8C2EFF1B5A94DA04EF76495211CE1" ma:contentTypeVersion="14" ma:contentTypeDescription="Create a new document." ma:contentTypeScope="" ma:versionID="938e553d26dc452953e155c1b1740c60">
  <xsd:schema xmlns:xsd="http://www.w3.org/2001/XMLSchema" xmlns:xs="http://www.w3.org/2001/XMLSchema" xmlns:p="http://schemas.microsoft.com/office/2006/metadata/properties" xmlns:ns2="ba713fcd-dac6-4a89-adf1-cbaa4d4851a6" xmlns:ns3="33774fc5-a698-4af5-9420-69f5552e9b02" targetNamespace="http://schemas.microsoft.com/office/2006/metadata/properties" ma:root="true" ma:fieldsID="4825095b8941c1de6c5692161f6caf19" ns2:_="" ns3:_="">
    <xsd:import namespace="ba713fcd-dac6-4a89-adf1-cbaa4d4851a6"/>
    <xsd:import namespace="33774fc5-a698-4af5-9420-69f5552e9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3fcd-dac6-4a89-adf1-cbaa4d48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4fc5-a698-4af5-9420-69f5552e9b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b867daf-fb91-4320-8d57-3845067cc7c5}" ma:internalName="TaxCatchAll" ma:showField="CatchAllData" ma:web="33774fc5-a698-4af5-9420-69f5552e9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9DC45A-B719-4CDD-9A09-D48C3266E96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ba713fcd-dac6-4a89-adf1-cbaa4d4851a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3774fc5-a698-4af5-9420-69f5552e9b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4DC45F-377E-46A0-9BFD-37298BD6A7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1955D8-FF87-488F-8396-5B82F9D7A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30D2EF-711D-42C7-9264-8C7805F0B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3fcd-dac6-4a89-adf1-cbaa4d4851a6"/>
    <ds:schemaRef ds:uri="33774fc5-a698-4af5-9420-69f5552e9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5</Pages>
  <Words>1231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 Técnico: Focus 14 y Focus 40 Blue</vt:lpstr>
    </vt:vector>
  </TitlesOfParts>
  <Company>ASEM</Company>
  <LinksUpToDate>false</LinksUpToDate>
  <CharactersWithSpaces>8253</CharactersWithSpaces>
  <SharedDoc>false</SharedDoc>
  <HLinks>
    <vt:vector size="6" baseType="variant">
      <vt:variant>
        <vt:i4>2424949</vt:i4>
      </vt:variant>
      <vt:variant>
        <vt:i4>0</vt:i4>
      </vt:variant>
      <vt:variant>
        <vt:i4>0</vt:i4>
      </vt:variant>
      <vt:variant>
        <vt:i4>5</vt:i4>
      </vt:variant>
      <vt:variant>
        <vt:lpwstr>http://eviacam.sourceforge.net/eviacam.php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Técnico: Focus 14 y Focus 40 Blue</dc:title>
  <dc:creator>PRATP</dc:creator>
  <cp:lastModifiedBy>Javier A Lopez-Ramos</cp:lastModifiedBy>
  <cp:revision>20</cp:revision>
  <cp:lastPrinted>2011-05-23T13:01:00Z</cp:lastPrinted>
  <dcterms:created xsi:type="dcterms:W3CDTF">2017-08-17T15:33:00Z</dcterms:created>
  <dcterms:modified xsi:type="dcterms:W3CDTF">2022-08-02T18:18:00Z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0x0101007D58C2EFF1B5A94DA04EF76495211CE1</vt:lpwstr>
  </property>
  <property fmtid="{D5CDD505-2E9C-101B-9397-08002B2CF9AE}" pid="3" name="MediaServiceImageTags">
    <vt:lpwstr/>
  </property>
</Properties>
</file>